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6-center-day-3"/>
    <w:p>
      <w:pPr>
        <w:pStyle w:val="Heading1"/>
      </w:pPr>
      <w:r>
        <w:t xml:space="preserve">Lesson 16: Center Day 3</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p>
      <w:pPr>
        <w:numPr>
          <w:ilvl w:val="0"/>
          <w:numId w:val="1001"/>
        </w:numPr>
        <w:pStyle w:val="Compact"/>
      </w:pPr>
      <w:r>
        <w:t xml:space="preserve">Tell and solve math stories based on a representation.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w:t>
      </w:r>
    </w:p>
    <w:p>
      <w:pPr>
        <w:pStyle w:val="BodyText"/>
      </w:pPr>
      <w:r>
        <w:t xml:space="preserve">In Activity 1, students learn a new stage in the Capture Squares center. In this stage students subtract numbers within 10. In Activity 2, students choose an activity to work on that focuses on addition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Capture Squares Stage 2 Gameboard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Who got to do math today in class? How can you adjust norms, routines, or groups so all students do math during centers?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2022-12-14T11:06:32Z</dcterms:created>
  <dcterms:modified xsi:type="dcterms:W3CDTF">2022-12-14T11:06:32Z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BTVJXAEd98/Qb1IUFKb4dzWi9dUMSwT0oYvVavmgknwhMQwFbZUPkhWL8QpFwtQfDEqMUxjBWe8kATAaja+RIQ==</vt:lpwstr>
  </property>
</Properties>
</file>