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svg" ContentType="image/svg+xml;base64"/>
  <Override PartName="/word/media/rId35.svg" ContentType="image/svg+xml;base64"/>
  <Override PartName="/word/media/rId20.svg" ContentType="image/svg+xml;base64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drawing>
          <wp:inline>
            <wp:extent cx="3810000" cy="2540000"/>
            <wp:effectExtent b="0" l="0" r="0" t="0"/>
            <wp:docPr descr="" title="" id="21" name="Picture"/>
            <a:graphic>
              <a:graphicData uri="http://schemas.openxmlformats.org/drawingml/2006/picture">
                <pic:pic>
                  <pic:nvPicPr>
                    <pic:cNvPr descr="data:image/svg+xml;base64,PHN2ZyBoZWlnaHQ9IjAuM2luIiB4bWxucz0iaHR0cDovL3d3dy53My5vcmcv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%0AWiIvPgogIDwvZz4KPC9zdmc+%0A" id="22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Start w:id="42" w:name="X700bb53b3a35b544968fc0e1602f40b0a891a6d"/>
    <w:p>
      <w:pPr>
        <w:pStyle w:val="Heading1"/>
      </w:pPr>
      <w:r>
        <w:t xml:space="preserve">Lesson 14: Representemos la división de números enteros entre fracciones unitarias</w:t>
      </w:r>
    </w:p>
    <w:bookmarkStart w:id="23" w:name="standards-alignments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5.NF.B.7.b</w:t>
            </w:r>
          </w:p>
        </w:tc>
      </w:tr>
    </w:tbl>
    <w:bookmarkEnd w:id="23"/>
    <w:bookmarkStart w:id="24" w:name="teacher-facing-learning-goals"/>
    <w:p>
      <w:pPr>
        <w:pStyle w:val="Heading3"/>
      </w:pPr>
      <w:r>
        <w:t xml:space="preserve">Teacher-facing Learning Goals</w:t>
      </w:r>
    </w:p>
    <w:p>
      <w:pPr>
        <w:numPr>
          <w:ilvl w:val="0"/>
          <w:numId w:val="1001"/>
        </w:numPr>
        <w:pStyle w:val="Compact"/>
      </w:pPr>
      <w:r>
        <w:t xml:space="preserve">Divide a whole number by a unit fraction.</w:t>
      </w:r>
    </w:p>
    <w:p>
      <w:pPr>
        <w:numPr>
          <w:ilvl w:val="0"/>
          <w:numId w:val="1001"/>
        </w:numPr>
        <w:pStyle w:val="Compact"/>
      </w:pPr>
      <w:r>
        <w:t xml:space="preserve">Relate diagrams, situations and expressions that represent division of a whole number by a unit fraction.</w:t>
      </w:r>
    </w:p>
    <w:bookmarkEnd w:id="24"/>
    <w:bookmarkStart w:id="25" w:name="student-facing-learning-goals"/>
    <w:p>
      <w:pPr>
        <w:pStyle w:val="Heading3"/>
      </w:pPr>
      <w:r>
        <w:t xml:space="preserve">Student-facing Learning Goals</w:t>
      </w:r>
    </w:p>
    <w:p>
      <w:pPr>
        <w:numPr>
          <w:ilvl w:val="0"/>
          <w:numId w:val="1002"/>
        </w:numPr>
        <w:pStyle w:val="Compact"/>
      </w:pPr>
      <w:r>
        <w:t xml:space="preserve">Resolvamos problemas en los que se divide un número entero entre una fracción unitaria.</w:t>
      </w:r>
    </w:p>
    <w:bookmarkEnd w:id="25"/>
    <w:bookmarkStart w:id="26" w:name="lesson-purpose"/>
    <w:p>
      <w:pPr>
        <w:pStyle w:val="Heading3"/>
      </w:pPr>
      <w:r>
        <w:t xml:space="preserve">Lesson Purpose</w:t>
      </w:r>
    </w:p>
    <w:p>
      <w:pPr>
        <w:pStyle w:val="FirstParagraph"/>
      </w:pPr>
      <w:r>
        <w:t xml:space="preserve">The purpose of this lesson is for students to solve problems involving division of a unit fraction by a whole number and write equations to represent them.</w:t>
      </w:r>
    </w:p>
    <w:p>
      <w:pPr>
        <w:pStyle w:val="BodyText"/>
      </w:pPr>
      <w:r>
        <w:t xml:space="preserve">In the previous lesson, students solved problems involving division of a whole number by a unit fraction. In this lesson, students continue to find quotients of a whole number by a unit fraction. In this lesson, however, they find the value of expressions without being provided a tape diagram. The numbers are not too large, however, so they may still draw a diagram if it is helpful. In the second activity, students look simultaneously at expressions involving quotients of a whole number by a fraction and quotients of a fraction by a whole number. </w:t>
      </w:r>
    </w:p>
    <w:bookmarkEnd w:id="26"/>
    <w:bookmarkStart w:id="27" w:name="access-for"/>
    <w:p>
      <w:pPr>
        <w:pStyle w:val="Heading3"/>
      </w:pPr>
      <w:r>
        <w:t xml:space="preserve">Access for:</w:t>
      </w:r>
    </w:p>
    <w:bookmarkEnd w:id="27"/>
    <w:bookmarkStart w:id="31" w:name="students-with-disabilities"/>
    <w:p>
      <w:pPr>
        <w:pStyle w:val="Heading3"/>
      </w:pPr>
      <w:r>
        <w:drawing>
          <wp:inline>
            <wp:extent cx="3810000" cy="25400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" id="30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Students with Disabilities</w:t>
      </w:r>
    </w:p>
    <w:p>
      <w:pPr>
        <w:numPr>
          <w:ilvl w:val="0"/>
          <w:numId w:val="1003"/>
        </w:numPr>
        <w:pStyle w:val="Compact"/>
      </w:pPr>
      <w:r>
        <w:t xml:space="preserve">Action and Expression (Activity 1)</w:t>
      </w:r>
    </w:p>
    <w:bookmarkEnd w:id="31"/>
    <w:bookmarkStart w:id="32" w:name="instructional-routines"/>
    <w:p>
      <w:pPr>
        <w:pStyle w:val="Heading3"/>
      </w:pPr>
      <w:r>
        <w:t xml:space="preserve">Instructional Routines</w:t>
      </w:r>
    </w:p>
    <w:p>
      <w:pPr>
        <w:pStyle w:val="FirstParagraph"/>
      </w:pPr>
      <w:r>
        <w:t xml:space="preserve">MLR7 Compare and Connect (Activity 1), Number Talk (Warm-up)</w:t>
      </w:r>
    </w:p>
    <w:bookmarkEnd w:id="32"/>
    <w:bookmarkStart w:id="33" w:name="lesson-timeline"/>
    <w:p>
      <w:pPr>
        <w:pStyle w:val="Heading3"/>
      </w:pPr>
      <w:r>
        <w:t xml:space="preserve">Lesson Timeline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Warm-up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1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Activity 2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15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Lesson Synthesis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10 min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Cool-down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 min</w:t>
            </w:r>
          </w:p>
        </w:tc>
      </w:tr>
    </w:tbl>
    <w:bookmarkEnd w:id="33"/>
    <w:bookmarkStart w:id="34" w:name="teacher-reflection-question"/>
    <w:p>
      <w:pPr>
        <w:pStyle w:val="Heading3"/>
      </w:pPr>
      <w:r>
        <w:t xml:space="preserve">Teacher Reflection Question</w:t>
      </w:r>
    </w:p>
    <w:p>
      <w:pPr>
        <w:pStyle w:val="FirstParagraph"/>
      </w:pPr>
      <w:r>
        <w:t xml:space="preserve">Reflect on times you observed students listening to one another’s ideas today in class. What norms would help each student better attend to their classmates' ideas in future lessons?</w:t>
      </w:r>
    </w:p>
    <w:p>
      <w:r>
        <w:pict>
          <v:rect style="width:0;height:1.5pt" o:hralign="center" o:hrstd="t" o:hr="t"/>
        </w:pict>
      </w:r>
    </w:p>
    <w:bookmarkEnd w:id="34"/>
    <w:bookmarkStart w:id="38" w:name="cool-down"/>
    <w:p>
      <w:pPr>
        <w:pStyle w:val="Heading2"/>
      </w:pPr>
      <w:r>
        <w:t xml:space="preserve">Cool-down</w:t>
      </w:r>
    </w:p>
    <w:p>
      <w:pPr>
        <w:pStyle w:val="FirstParagraph"/>
      </w:pPr>
      <w:r>
        <w:t xml:space="preserve">(to be completed at the end of the lesson)</w:t>
      </w:r>
      <w:r>
        <w:t xml:space="preserve"> </w:t>
      </w:r>
      <w:r>
        <w:drawing>
          <wp:inline>
            <wp:extent cx="3810000" cy="2540000"/>
            <wp:effectExtent b="0" l="0" r="0" t="0"/>
            <wp:docPr descr="" title="" id="36" name="Picture"/>
            <a:graphic>
              <a:graphicData uri="http://schemas.openxmlformats.org/drawingml/2006/picture">
                <pic:pic>
                  <pic:nvPicPr>
                    <pic:cNvPr descr="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" id="37" name="Picture"/>
                    <pic:cNvPicPr>
                      <a:picLocks noChangeArrowheads="1" noChangeAspect="1"/>
                    </pic:cNvPicPr>
                  </pic:nvPicPr>
                  <pic:blipFill>
                    <a:blip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5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 xml:space="preserve">5</w:t>
      </w:r>
      <w:r>
        <w:t xml:space="preserve">min</w:t>
      </w:r>
    </w:p>
    <w:p>
      <w:pPr>
        <w:pStyle w:val="BodyText"/>
      </w:pPr>
      <w:r>
        <w:t xml:space="preserve">Resuelve y empareja la expresión</w:t>
      </w:r>
    </w:p>
    <w:bookmarkEnd w:id="38"/>
    <w:bookmarkStart w:id="39" w:name="standards-alignments-1"/>
    <w:p>
      <w:pPr>
        <w:pStyle w:val="Heading3"/>
      </w:pPr>
      <w:r>
        <w:t xml:space="preserve">Standards Alignments</w:t>
      </w:r>
    </w:p>
    <w:tbl>
      <w:tblPr>
        <w:tblStyle w:val="Table"/>
        <w:tblW w:type="auto" w:w="0"/>
        <w:tblLook w:firstRow="0" w:lastRow="0" w:firstColumn="0" w:lastColumn="0" w:noHBand="0" w:noVBand="0" w:val="0000"/>
      </w:tblPr>
      <w:tblGrid>
        <w:gridCol w:w="3960"/>
        <w:gridCol w:w="3960"/>
      </w:tblGrid>
      <w:tr>
        <w:tc>
          <w:tcPr/>
          <w:p>
            <w:pPr>
              <w:pStyle w:val="Compact"/>
              <w:jc w:val="left"/>
            </w:pPr>
            <w:r>
              <w:t xml:space="preserve">Addressing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5.NF.B.7.b</w:t>
            </w:r>
          </w:p>
        </w:tc>
      </w:tr>
    </w:tbl>
    <w:bookmarkEnd w:id="39"/>
    <w:bookmarkStart w:id="40" w:name="student-facing-task-statement"/>
    <w:p>
      <w:pPr>
        <w:pStyle w:val="Heading3"/>
      </w:pPr>
      <w:r>
        <w:t xml:space="preserve">Student-facing Task Statement</w:t>
      </w:r>
    </w:p>
    <w:p>
      <w:pPr>
        <w:numPr>
          <w:ilvl w:val="0"/>
          <w:numId w:val="1004"/>
        </w:numPr>
        <w:pStyle w:val="Compact"/>
      </w:pPr>
      <w:r>
        <w:t xml:space="preserve">Un paquete tiene 2 tazas de uvas pasas. Cada porción de uvas pasas es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de taza.</w:t>
      </w:r>
    </w:p>
    <w:p>
      <w:pPr>
        <w:numPr>
          <w:ilvl w:val="1"/>
          <w:numId w:val="1005"/>
        </w:numPr>
        <w:pStyle w:val="Compact"/>
      </w:pPr>
      <w:r>
        <w:t xml:space="preserve">¿Cuál expresión le corresponde a esta situación:</w:t>
      </w:r>
      <w:r>
        <w:t xml:space="preserve"> </w:t>
      </w: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 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  <m:r>
          <m:rPr>
            <m:sty m:val="p"/>
          </m:rPr>
          <m:t>÷</m:t>
        </m:r>
        <m:r>
          <m:t>2</m:t>
        </m:r>
      </m:oMath>
      <w:r>
        <w:t xml:space="preserve">? Explica o muestra cómo razonaste.</w:t>
      </w:r>
    </w:p>
    <w:p>
      <w:pPr>
        <w:numPr>
          <w:ilvl w:val="1"/>
          <w:numId w:val="1005"/>
        </w:numPr>
        <w:pStyle w:val="Compact"/>
      </w:pPr>
      <w:r>
        <w:t xml:space="preserve">¿Cuántas porciones de uvas pasas hay en el paquete? Explica o muestra tu razonamiento.</w:t>
      </w:r>
    </w:p>
    <w:bookmarkEnd w:id="40"/>
    <w:bookmarkStart w:id="41" w:name="student-responses"/>
    <w:p>
      <w:pPr>
        <w:pStyle w:val="Heading3"/>
      </w:pPr>
      <w:r>
        <w:t xml:space="preserve">Student Responses</w:t>
      </w:r>
    </w:p>
    <w:p>
      <w:pPr>
        <w:numPr>
          <w:ilvl w:val="0"/>
          <w:numId w:val="1006"/>
        </w:numPr>
        <w:pStyle w:val="Compact"/>
      </w:pPr>
    </w:p>
    <w:p>
      <w:pPr>
        <w:numPr>
          <w:ilvl w:val="1"/>
          <w:numId w:val="1007"/>
        </w:numPr>
        <w:pStyle w:val="Compact"/>
      </w:pPr>
      <m:oMath>
        <m:r>
          <m:t>2</m:t>
        </m:r>
        <m:r>
          <m:rPr>
            <m:sty m:val="p"/>
          </m:rPr>
          <m:t>÷</m:t>
        </m:r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since the 2 cups is being divided into servings that are each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cup.</w:t>
      </w:r>
    </w:p>
    <w:p>
      <w:pPr>
        <w:numPr>
          <w:ilvl w:val="1"/>
          <w:numId w:val="1007"/>
        </w:numPr>
        <w:pStyle w:val="Compact"/>
      </w:pPr>
      <w:r>
        <w:t xml:space="preserve">8. Sample response: each cup has four 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 cup so that’s 8 total.</w:t>
      </w:r>
    </w:p>
    <w:bookmarkEnd w:id="41"/>
    <w:bookmarkEnd w:id="4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svg" /><Relationship Type="http://schemas.openxmlformats.org/officeDocument/2006/relationships/image" Id="rId35" Target="media/rId35.svg" /><Relationship Type="http://schemas.openxmlformats.org/officeDocument/2006/relationships/image" Id="rId20" Target="media/rId20.sv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2022-12-15T00:53:11Z</dcterms:created>
  <dcterms:modified xsi:type="dcterms:W3CDTF">2022-12-15T00:53:11Z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PmV1aG1mFTrVCeKHQhLOhN7oKLQnkQu+uLu71Oxlw0YaYTAxAe7tZxDtQZkTduLs5wBRMjMbVqU9MV6kmGrAGw==</vt:lpwstr>
  </property>
</Properties>
</file>