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37.png" ContentType="image/png"/>
  <Override PartName="/word/media/rId39.png" ContentType="image/png"/>
  <Override PartName="/word/media/rId20.svg" ContentType="image/svg+xml;base64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21" w:name="lesson-14-usemos-diagramas-para-comparar"/>
      <w:r>
        <w:t xml:space="preserve">Lesson 14: Usemos diagramas para comparar</w:t>
      </w:r>
      <w:bookmarkEnd w:id="21"/>
    </w:p>
    <w:p>
      <w:pPr>
        <w:pStyle w:val="Heading3"/>
      </w:pPr>
      <w:bookmarkStart w:id="22" w:name="standards-alignments"/>
      <w:r>
        <w:t xml:space="preserve">Standards Alignments</w:t>
      </w:r>
      <w:bookmarkEnd w:id="22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p>
            <w:pPr>
              <w:pStyle w:val="Compact"/>
              <w:jc w:val="left"/>
            </w:pPr>
            <w:r>
              <w:t xml:space="preserve">2.MD.D.10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p>
            <w:pPr>
              <w:pStyle w:val="Compact"/>
              <w:jc w:val="left"/>
            </w:pPr>
            <w:r>
              <w:t xml:space="preserve">2.OA.A.1</w:t>
            </w:r>
          </w:p>
        </w:tc>
      </w:tr>
    </w:tbl>
    <w:p>
      <w:pPr>
        <w:pStyle w:val="Heading3"/>
      </w:pPr>
      <w:bookmarkStart w:id="23" w:name="teacher-facing-learning-goals"/>
      <w:r>
        <w:t xml:space="preserve">Teacher-facing Learning Goals</w:t>
      </w:r>
      <w:bookmarkEnd w:id="23"/>
    </w:p>
    <w:p>
      <w:pPr>
        <w:numPr>
          <w:ilvl w:val="0"/>
          <w:numId w:val="1001"/>
        </w:numPr>
      </w:pPr>
      <w:r>
        <w:t xml:space="preserve">Solve Compare problems with an unknown difference within 20.</w:t>
      </w:r>
    </w:p>
    <w:p>
      <w:pPr>
        <w:numPr>
          <w:ilvl w:val="0"/>
          <w:numId w:val="1001"/>
        </w:numPr>
      </w:pPr>
      <w:r>
        <w:t xml:space="preserve">Use understanding of bar graphs to make sense of tape diagrams.</w:t>
      </w:r>
    </w:p>
    <w:p>
      <w:pPr>
        <w:pStyle w:val="Heading3"/>
      </w:pPr>
      <w:bookmarkStart w:id="24" w:name="student-facing-learning-goals"/>
      <w:r>
        <w:t xml:space="preserve">Student-facing Learning Goals</w:t>
      </w:r>
      <w:bookmarkEnd w:id="24"/>
    </w:p>
    <w:p>
      <w:pPr>
        <w:numPr>
          <w:ilvl w:val="0"/>
          <w:numId w:val="1002"/>
        </w:numPr>
      </w:pPr>
      <w:r>
        <w:t xml:space="preserve">Usemos gráficas de barras y diagramas para resolver problemas de comparación.</w:t>
      </w:r>
    </w:p>
    <w:p>
      <w:pPr>
        <w:pStyle w:val="Heading3"/>
      </w:pPr>
      <w:bookmarkStart w:id="25" w:name="lesson-purpose"/>
      <w:r>
        <w:t xml:space="preserve">Lesson Purpose</w:t>
      </w:r>
      <w:bookmarkEnd w:id="25"/>
    </w:p>
    <w:p>
      <w:pPr>
        <w:pStyle w:val="FirstParagraph"/>
      </w:pPr>
      <w:r>
        <w:t xml:space="preserve">The purpose of this lesson is for students to use their understanding of bar graphs to interpret tape diagrams and solve Compare problems with the difference unknown within 20.</w:t>
      </w:r>
    </w:p>
    <w:p>
      <w:pPr>
        <w:pStyle w:val="BodyText"/>
      </w:pPr>
      <w:r>
        <w:t xml:space="preserve">In this lesson, students use their understanding of bar graphs to make sense of a new representation, the tape diagram. The tape diagram is a representation that can be used by students to represent story problems. Students will use tape diagrams in grade 2 and throughout elementary, middle, and high school.</w:t>
      </w:r>
    </w:p>
    <w:p>
      <w:pPr>
        <w:pStyle w:val="Heading3"/>
      </w:pPr>
      <w:bookmarkStart w:id="26" w:name="access-for"/>
      <w:r>
        <w:t xml:space="preserve">Access for:</w:t>
      </w:r>
      <w:bookmarkEnd w:id="26"/>
    </w:p>
    <w:p>
      <w:pPr>
        <w:pStyle w:val="Heading3"/>
      </w:pPr>
      <w:bookmarkStart w:id="27" w:name="english-learners"/>
      <w:r>
        <w:t xml:space="preserve">English Learners</w:t>
      </w:r>
      <w:bookmarkEnd w:id="27"/>
    </w:p>
    <w:p>
      <w:pPr>
        <w:numPr>
          <w:ilvl w:val="0"/>
          <w:numId w:val="1003"/>
        </w:numPr>
      </w:pPr>
      <w:r>
        <w:t xml:space="preserve">MLR2 (Activity 1)</w:t>
      </w:r>
    </w:p>
    <w:p>
      <w:pPr>
        <w:pStyle w:val="Heading3"/>
      </w:pPr>
      <w:bookmarkStart w:id="28" w:name="instructional-routines"/>
      <w:r>
        <w:t xml:space="preserve">Instructional Routines</w:t>
      </w:r>
      <w:bookmarkEnd w:id="28"/>
    </w:p>
    <w:p>
      <w:pPr>
        <w:pStyle w:val="FirstParagraph"/>
      </w:pPr>
      <w:r>
        <w:t xml:space="preserve">Notice and Wonder (Warm-up)</w:t>
      </w:r>
    </w:p>
    <w:p>
      <w:pPr>
        <w:pStyle w:val="Heading3"/>
      </w:pPr>
      <w:bookmarkStart w:id="29" w:name="materials-to-gather"/>
      <w:r>
        <w:t xml:space="preserve">Materials to Gather</w:t>
      </w:r>
      <w:bookmarkEnd w:id="29"/>
    </w:p>
    <w:p>
      <w:pPr>
        <w:numPr>
          <w:ilvl w:val="0"/>
          <w:numId w:val="1004"/>
        </w:numPr>
      </w:pPr>
      <w:r>
        <w:t xml:space="preserve">Glue or tape: Activity 1</w:t>
      </w:r>
    </w:p>
    <w:p>
      <w:pPr>
        <w:numPr>
          <w:ilvl w:val="0"/>
          <w:numId w:val="1004"/>
        </w:numPr>
      </w:pPr>
      <w:r>
        <w:t xml:space="preserve">Scissors: Activity 1</w:t>
      </w:r>
    </w:p>
    <w:p>
      <w:pPr>
        <w:pStyle w:val="Heading3"/>
      </w:pPr>
      <w:bookmarkStart w:id="30" w:name="materials-to-copy"/>
      <w:r>
        <w:t xml:space="preserve">Materials to Copy</w:t>
      </w:r>
      <w:bookmarkEnd w:id="30"/>
    </w:p>
    <w:p>
      <w:pPr>
        <w:numPr>
          <w:ilvl w:val="0"/>
          <w:numId w:val="1005"/>
        </w:numPr>
      </w:pPr>
      <w:r>
        <w:t xml:space="preserve">Party Time, Spanish (groups of 1): Activity 1</w:t>
      </w:r>
    </w:p>
    <w:p>
      <w:pPr>
        <w:pStyle w:val="Heading3"/>
      </w:pPr>
      <w:bookmarkStart w:id="31" w:name="lesson-timeline"/>
      <w:r>
        <w:t xml:space="preserve">Lesson Timeline</w:t>
      </w:r>
      <w:bookmarkEnd w:id="31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p>
      <w:pPr>
        <w:pStyle w:val="Heading3"/>
      </w:pPr>
      <w:bookmarkStart w:id="32" w:name="teacher-reflection-question"/>
      <w:r>
        <w:t xml:space="preserve">Teacher Reflection Question</w:t>
      </w:r>
      <w:bookmarkEnd w:id="32"/>
    </w:p>
    <w:p>
      <w:pPr>
        <w:pStyle w:val="FirstParagraph"/>
      </w:pPr>
      <w:r>
        <w:t xml:space="preserve">The relationship between addition and subtraction is important as students develop fluency within 20 in grade 2. How did you use the tape diagram to help students build this understanding?</w:t>
      </w:r>
      <w:r>
        <w:t xml:space="preserve"> 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33" w:name="cool-down"/>
      <w:r>
        <w:t xml:space="preserve">Cool-down</w:t>
      </w:r>
      <w:bookmarkEnd w:id="33"/>
    </w:p>
    <w:p>
      <w:pPr>
        <w:pStyle w:val="FirstParagraph"/>
      </w:pPr>
      <w:r>
        <w:t xml:space="preserve">(to be completed at the end of the lesson)</w:t>
      </w:r>
    </w:p>
    <w:p>
      <w:pPr>
        <w:pStyle w:val="BodyText"/>
      </w:pPr>
      <w:r>
        <w:t xml:space="preserve">5</w:t>
      </w:r>
      <w:r>
        <w:t xml:space="preserve">min</w:t>
      </w:r>
    </w:p>
    <w:p>
      <w:pPr>
        <w:pStyle w:val="BodyText"/>
      </w:pPr>
      <w:r>
        <w:t xml:space="preserve">Perros en la tienda de mascotas</w:t>
      </w:r>
    </w:p>
    <w:p>
      <w:pPr>
        <w:pStyle w:val="Heading3"/>
      </w:pPr>
      <w:bookmarkStart w:id="34" w:name="standards-alignments-1"/>
      <w:r>
        <w:t xml:space="preserve">Standards Alignments</w:t>
      </w:r>
      <w:bookmarkEnd w:id="34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p>
            <w:pPr>
              <w:pStyle w:val="Compact"/>
              <w:jc w:val="left"/>
            </w:pPr>
            <w:r>
              <w:t xml:space="preserve">2.MD.D.10</w:t>
            </w:r>
          </w:p>
        </w:tc>
      </w:tr>
    </w:tbl>
    <w:p>
      <w:pPr>
        <w:pStyle w:val="Heading3"/>
      </w:pPr>
      <w:bookmarkStart w:id="35" w:name="student-facing-task-statement"/>
      <w:r>
        <w:t xml:space="preserve">Student-facing Task Statement</w:t>
      </w:r>
      <w:bookmarkEnd w:id="35"/>
    </w:p>
    <w:p>
      <w:pPr>
        <w:pStyle w:val="FirstParagraph"/>
      </w:pPr>
      <w:r>
        <w:t xml:space="preserve">Estas dos representaciones muestran los mismos datos sobre los perros de una tienda de mascotas.</w:t>
      </w:r>
    </w:p>
    <w:p>
      <w:pPr>
        <w:pStyle w:val="BodyText"/>
      </w:pPr>
      <w:r>
        <w:drawing>
          <wp:inline>
            <wp:extent cx="3042170" cy="3129407"/>
            <wp:effectExtent b="0" l="0" r="0" t="0"/>
            <wp:docPr descr="Horizontal bar graph. Dogs at the Pet Shop. Horizontal axis from 0 to 13 by 1s. Vertical axis labeled white, black, brown. Length of bar: White, 12. Black, 6. Brown, 8." title="" id="1" name="Picture"/>
            <a:graphic>
              <a:graphicData uri="http://schemas.openxmlformats.org/drawingml/2006/picture">
                <pic:pic>
                  <pic:nvPicPr>
                    <pic:cNvPr descr="/app/tmp/embedder-1643139126.329640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170" cy="31294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467100" cy="1554492"/>
            <wp:effectExtent b="0" l="0" r="0" t="0"/>
            <wp:docPr descr="Diagram. Two rectangles of equal length. Rectangle on top labeled brown dogs, split into 2 parts. First part, shaded, total length, blank. Second part has dashed outline, total length, question mark. Rectangle on the bottom labeled white dogs, shaded, total length, blank." title="" id="1" name="Picture"/>
            <a:graphic>
              <a:graphicData uri="http://schemas.openxmlformats.org/drawingml/2006/picture">
                <pic:pic>
                  <pic:nvPicPr>
                    <pic:cNvPr descr="/app/tmp/embedder-1643139127.06819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554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</w:pPr>
      <w:r>
        <w:t xml:space="preserve">Usa la gráfica de barras para completar los espacios en blanco del diagrama.</w:t>
      </w:r>
    </w:p>
    <w:p>
      <w:pPr>
        <w:numPr>
          <w:ilvl w:val="0"/>
          <w:numId w:val="1006"/>
        </w:numPr>
      </w:pPr>
      <w:r>
        <w:t xml:space="preserve">¿Cuántos perros blancos más que perros marrones hay? Muestra cómo pensaste. Usa dibujos, números o palabras.</w:t>
      </w:r>
    </w:p>
    <w:p>
      <w:pPr>
        <w:pStyle w:val="Heading3"/>
      </w:pPr>
      <w:bookmarkStart w:id="38" w:name="student-responses"/>
      <w:r>
        <w:t xml:space="preserve">Student Responses</w:t>
      </w:r>
      <w:bookmarkEnd w:id="38"/>
    </w:p>
    <w:p>
      <w:pPr>
        <w:numPr>
          <w:ilvl w:val="0"/>
          <w:numId w:val="1007"/>
        </w:numPr>
      </w:pPr>
      <w:r>
        <w:drawing>
          <wp:inline>
            <wp:extent cx="2971800" cy="1554492"/>
            <wp:effectExtent b="0" l="0" r="0" t="0"/>
            <wp:docPr descr="Diagram." title="" id="1" name="Picture"/>
            <a:graphic>
              <a:graphicData uri="http://schemas.openxmlformats.org/drawingml/2006/picture">
                <pic:pic>
                  <pic:nvPicPr>
                    <pic:cNvPr descr="/app/tmp/embedder-1643139128.633720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54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</w:pPr>
      <w:r>
        <w:t xml:space="preserve"> Sample response: There are 4 more white dogs than brown dogs.</w:t>
      </w:r>
      <w:r>
        <w:t xml:space="preserve"> </w:t>
      </w:r>
      <m:oMath>
        <m:r>
          <m:t>8</m:t>
        </m:r>
        <m:r>
          <m:t>+</m:t>
        </m:r>
        <m:r>
          <m:t>4</m:t>
        </m:r>
        <m:r>
          <m:t>=</m:t>
        </m:r>
        <m:r>
          <m:t>12</m:t>
        </m:r>
      </m:oMath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6" Target="media/rId36.png" /><Relationship Type="http://schemas.openxmlformats.org/officeDocument/2006/relationships/image" Id="rId37" Target="media/rId37.png" /><Relationship Type="http://schemas.openxmlformats.org/officeDocument/2006/relationships/image" Id="rId39" Target="media/rId39.png" /><Relationship Type="http://schemas.openxmlformats.org/officeDocument/2006/relationships/image" Id="rId20" Target="media/rId20.sv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2022-01-25T19:32:10Z</dcterms:created>
  <dcterms:modified xsi:type="dcterms:W3CDTF">2022-01-25T19:32:10Z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Hx6BvsgHeapeQh8Pp7KLeOqtUjEDiLPZ0dGiMfysjxx+BTq7pLzESzyDu3PPsnAbcorwoBrahHfs9U7DFkLG0g==</vt:lpwstr>
  </property>
</Properties>
</file>