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50.png" ContentType="image/png"/>
  <Override PartName="/word/media/rId53.png" ContentType="image/png"/>
  <Override PartName="/word/media/rId38.svg" ContentType="image/svg+xml;base64"/>
  <Override PartName="/word/media/rId34.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X384327c87703b460bf1835b1123ccc9d3b8c22f"/>
    <w:p>
      <w:pPr>
        <w:pStyle w:val="Heading1"/>
      </w:pPr>
      <w:r>
        <w:t xml:space="preserve">Lesson 8: ¿Todas las partes son creadas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circles and rectangles into halves, thirds, and fourths in different ways.</w:t>
      </w:r>
    </w:p>
    <w:p>
      <w:pPr>
        <w:numPr>
          <w:ilvl w:val="0"/>
          <w:numId w:val="1001"/>
        </w:numPr>
        <w:pStyle w:val="Compact"/>
      </w:pPr>
      <w:r>
        <w:t xml:space="preserve">Recognize halves, thirds, and fourths of rectangles and circles.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medios, tercios y cuartos de distintas formas.</w:t>
      </w:r>
    </w:p>
    <w:bookmarkEnd w:id="25"/>
    <w:bookmarkStart w:id="32" w:name="lesson-purpose"/>
    <w:p>
      <w:pPr>
        <w:pStyle w:val="Heading3"/>
      </w:pPr>
      <w:r>
        <w:t xml:space="preserve">Lesson Purpose</w:t>
      </w:r>
    </w:p>
    <w:p>
      <w:pPr>
        <w:pStyle w:val="FirstParagraph"/>
      </w:pPr>
      <w:r>
        <w:t xml:space="preserve">The purpose of this lesson is for students to understand that equal pieces of an identical whole do not need to be the same shape.</w:t>
      </w:r>
    </w:p>
    <w:p>
      <w:pPr>
        <w:pStyle w:val="BodyText"/>
      </w:pPr>
      <w:r>
        <w:t xml:space="preserve">In previous lessons, students learned that when they partition circles and rectangles into halves, thirds, or fourths, each piece must be equal. To this point, they have determined whether the pieces are equal by cutting out pieces and physically matching them and by visually inspecting whether the pieces appear to be the same equal-size shape. </w:t>
      </w:r>
    </w:p>
    <w:p>
      <w:pPr>
        <w:pStyle w:val="BodyText"/>
      </w:pPr>
      <w:r>
        <w:t xml:space="preserve">In this lesson, students learn that halves, thirds, and fourths of the same whole can be different shapes or have different attributes. For example, they recognize that a square is partitioned into fourths, whether it is partitioned into equal-size triangles or equal-size squares.</w:t>
      </w:r>
    </w:p>
    <w:p>
      <w:pPr>
        <w:pStyle w:val="BodyText"/>
      </w:pPr>
      <w:r>
        <w:t xml:space="preserve">A</w:t>
      </w:r>
      <w:r>
        <w:drawing>
          <wp:inline>
            <wp:extent cx="1485900" cy="1485900"/>
            <wp:effectExtent b="0" l="0" r="0" t="0"/>
            <wp:docPr descr="Square partitioned into fourths. One part shaded." title="" id="27" name="Picture"/>
            <a:graphic>
              <a:graphicData uri="http://schemas.openxmlformats.org/drawingml/2006/picture">
                <pic:pic>
                  <pic:nvPicPr>
                    <pic:cNvPr descr="/app/tmp/embedder-1671061822.1184773.png" id="28" name="Picture"/>
                    <pic:cNvPicPr>
                      <a:picLocks noChangeArrowheads="1" noChangeAspect="1"/>
                    </pic:cNvPicPr>
                  </pic:nvPicPr>
                  <pic:blipFill>
                    <a:blip r:embed="rId26"/>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B</w:t>
      </w:r>
      <w:r>
        <w:drawing>
          <wp:inline>
            <wp:extent cx="1485900" cy="1485900"/>
            <wp:effectExtent b="0" l="0" r="0" t="0"/>
            <wp:docPr descr="Square. Partitioned into fourths. One part shaded." title="" id="30" name="Picture"/>
            <a:graphic>
              <a:graphicData uri="http://schemas.openxmlformats.org/drawingml/2006/picture">
                <pic:pic>
                  <pic:nvPicPr>
                    <pic:cNvPr descr="/app/tmp/embedder-1671061822.1632297.png" id="31" name="Picture"/>
                    <pic:cNvPicPr>
                      <a:picLocks noChangeArrowheads="1" noChangeAspect="1"/>
                    </pic:cNvPicPr>
                  </pic:nvPicPr>
                  <pic:blipFill>
                    <a:blip r:embed="rId29"/>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By the end of the lesson, students realize that as long as the shapes are partitioned into the same number of equal pieces, the pieces will have the same name and have the same size. </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41"/>
    <w:bookmarkStart w:id="42" w:name="instructional-routines"/>
    <w:p>
      <w:pPr>
        <w:pStyle w:val="Heading3"/>
      </w:pPr>
      <w:r>
        <w:t xml:space="preserve">Instructional Routines</w:t>
      </w:r>
    </w:p>
    <w:p>
      <w:pPr>
        <w:pStyle w:val="FirstParagraph"/>
      </w:pPr>
      <w:r>
        <w:t xml:space="preserve">Number Talk (Warm-up)</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3"/>
    <w:bookmarkStart w:id="44"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previewing the cool-down of the lesson before you started teaching today allow you to help students synthesize their learning?</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Pinta una imagen</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w:t>
            </w:r>
          </w:p>
        </w:tc>
      </w:tr>
    </w:tbl>
    <w:bookmarkEnd w:id="49"/>
    <w:bookmarkStart w:id="56" w:name="student-facing-task-statement"/>
    <w:p>
      <w:pPr>
        <w:pStyle w:val="Heading3"/>
      </w:pPr>
      <w:r>
        <w:t xml:space="preserve">Student-facing Task Statement</w:t>
      </w:r>
    </w:p>
    <w:p>
      <w:pPr>
        <w:pStyle w:val="FirstParagraph"/>
      </w:pPr>
      <w:r>
        <w:t xml:space="preserve">Andre y Noah tenían cada uno una hoja de papel del mismo tamaño.</w:t>
      </w:r>
    </w:p>
    <w:p>
      <w:pPr>
        <w:pStyle w:val="BodyText"/>
      </w:pPr>
      <w:r>
        <w:t xml:space="preserve">Cada uno pintó una parte de su papel.</w:t>
      </w:r>
    </w:p>
    <w:p>
      <w:pPr>
        <w:pStyle w:val="BodyText"/>
      </w:pPr>
      <w:r>
        <w:t xml:space="preserve">Andre:</w:t>
      </w:r>
    </w:p>
    <w:p>
      <w:pPr>
        <w:pStyle w:val="BodyText"/>
      </w:pPr>
      <w:r>
        <w:drawing>
          <wp:inline>
            <wp:extent cx="1485900" cy="1485900"/>
            <wp:effectExtent b="0" l="0" r="0" t="0"/>
            <wp:docPr descr="Square partitioned in halves. One half shaded." title="" id="51" name="Picture"/>
            <a:graphic>
              <a:graphicData uri="http://schemas.openxmlformats.org/drawingml/2006/picture">
                <pic:pic>
                  <pic:nvPicPr>
                    <pic:cNvPr descr="/app/tmp/embedder-1671061822.2735608.png" id="52" name="Picture"/>
                    <pic:cNvPicPr>
                      <a:picLocks noChangeArrowheads="1" noChangeAspect="1"/>
                    </pic:cNvPicPr>
                  </pic:nvPicPr>
                  <pic:blipFill>
                    <a:blip r:embed="rId5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w:t>
      </w:r>
    </w:p>
    <w:p>
      <w:pPr>
        <w:pStyle w:val="BodyText"/>
      </w:pPr>
      <w:r>
        <w:t xml:space="preserve">Noah:</w:t>
      </w:r>
    </w:p>
    <w:p>
      <w:pPr>
        <w:pStyle w:val="BodyText"/>
      </w:pPr>
      <w:r>
        <w:drawing>
          <wp:inline>
            <wp:extent cx="1485900" cy="1485900"/>
            <wp:effectExtent b="0" l="0" r="0" t="0"/>
            <wp:docPr descr="Square partitioned in halves. One half shaded." title="" id="54" name="Picture"/>
            <a:graphic>
              <a:graphicData uri="http://schemas.openxmlformats.org/drawingml/2006/picture">
                <pic:pic>
                  <pic:nvPicPr>
                    <pic:cNvPr descr="/app/tmp/embedder-1671061822.319366.png" id="55" name="Picture"/>
                    <pic:cNvPicPr>
                      <a:picLocks noChangeArrowheads="1" noChangeAspect="1"/>
                    </pic:cNvPicPr>
                  </pic:nvPicPr>
                  <pic:blipFill>
                    <a:blip r:embed="rId53"/>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Andre dice que él pintó más que Noah. ¿Estás de acuerdo? Explica.</w:t>
      </w:r>
    </w:p>
    <w:bookmarkEnd w:id="56"/>
    <w:bookmarkStart w:id="57" w:name="student-responses"/>
    <w:p>
      <w:pPr>
        <w:pStyle w:val="Heading3"/>
      </w:pPr>
      <w:r>
        <w:t xml:space="preserve">Student Responses</w:t>
      </w:r>
    </w:p>
    <w:p>
      <w:pPr>
        <w:pStyle w:val="FirstParagraph"/>
      </w:pPr>
      <w:r>
        <w:t xml:space="preserve">Sample response: No. Andre and Noah painted the same amount. They both painted a half of the page because each page is split into 2 equal parts and the pages are the same size.</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2022-12-14T23:50:23Z</dcterms:created>
  <dcterms:modified xsi:type="dcterms:W3CDTF">2022-12-14T23:50:23Z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11ljtTSY17OWN8uVlt3zcayDyZXllhkYIbIekQPa4H3zXSbsWBAv7lPTaIvHud8ZlWuwE/EcRAOkOPvhd9XjIA==</vt:lpwstr>
  </property>
</Properties>
</file>