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X74614b3f090fa588ff81954a5c8efc21bf72bdf"/>
      <w:r>
        <w:t xml:space="preserve">Lesson 15: Expresiones de suma y de resta hasta 5</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K.CC.C.6, K.OA.A.2, K.OA.A.5</w:t>
            </w:r>
          </w:p>
        </w:tc>
      </w:tr>
    </w:tbl>
    <w:p>
      <w:pPr>
        <w:pStyle w:val="Heading3"/>
      </w:pPr>
      <w:bookmarkStart w:id="23" w:name="teacher-facing-learning-goals"/>
      <w:r>
        <w:t xml:space="preserve">Teacher-facing Learning Goals</w:t>
      </w:r>
      <w:bookmarkEnd w:id="23"/>
    </w:p>
    <w:p>
      <w:pPr>
        <w:numPr>
          <w:ilvl w:val="0"/>
          <w:numId w:val="1001"/>
        </w:numPr>
      </w:pPr>
      <w:r>
        <w:t xml:space="preserve">Add and subtract within 5.</w:t>
      </w:r>
    </w:p>
    <w:p>
      <w:pPr>
        <w:pStyle w:val="Heading3"/>
      </w:pPr>
      <w:bookmarkStart w:id="24" w:name="student-facing-learning-goals"/>
      <w:r>
        <w:t xml:space="preserve">Student-facing Learning Goals</w:t>
      </w:r>
      <w:bookmarkEnd w:id="24"/>
    </w:p>
    <w:p>
      <w:pPr>
        <w:numPr>
          <w:ilvl w:val="0"/>
          <w:numId w:val="1002"/>
        </w:numPr>
      </w:pPr>
      <w:r>
        <w:t xml:space="preserve">Sumemos y restemos hasta 5.</w:t>
      </w:r>
    </w:p>
    <w:p>
      <w:pPr>
        <w:pStyle w:val="Heading3"/>
      </w:pPr>
      <w:bookmarkStart w:id="25" w:name="lesson-purpose"/>
      <w:r>
        <w:t xml:space="preserve">Lesson Purpose</w:t>
      </w:r>
      <w:bookmarkEnd w:id="25"/>
    </w:p>
    <w:p>
      <w:pPr>
        <w:pStyle w:val="FirstParagraph"/>
      </w:pPr>
      <w:r>
        <w:t xml:space="preserve">The purpose of this lesson is for students to develop fluency with adding and subtracting within 5.</w:t>
      </w:r>
    </w:p>
    <w:p>
      <w:pPr>
        <w:pStyle w:val="BodyText"/>
      </w:pPr>
      <w:r>
        <w:t xml:space="preserve">Students move around the room as they find the value of expressions. Students also compare totals and differences of expressions.</w:t>
      </w:r>
    </w:p>
    <w:p>
      <w:pPr>
        <w:pStyle w:val="BodyText"/>
      </w:pPr>
      <w:r>
        <w:t xml:space="preserve">If students need additional support with the concepts in this lesson, refer back to Unit 4, Section C in the curriculum materials.</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Engagement (Activity 2)</w:t>
      </w:r>
    </w:p>
    <w:p>
      <w:pPr>
        <w:pStyle w:val="Heading3"/>
      </w:pPr>
      <w:bookmarkStart w:id="28" w:name="english-learners"/>
      <w:r>
        <w:t xml:space="preserve">English Learners</w:t>
      </w:r>
      <w:bookmarkEnd w:id="28"/>
    </w:p>
    <w:p>
      <w:pPr>
        <w:numPr>
          <w:ilvl w:val="0"/>
          <w:numId w:val="1004"/>
        </w:numPr>
      </w:pPr>
      <w:r>
        <w:t xml:space="preserve">MLR8 (Activity 1)</w:t>
      </w:r>
    </w:p>
    <w:p>
      <w:pPr>
        <w:pStyle w:val="Heading3"/>
      </w:pPr>
      <w:bookmarkStart w:id="29" w:name="instructional-routines"/>
      <w:r>
        <w:t xml:space="preserve">Instructional Routines</w:t>
      </w:r>
      <w:bookmarkEnd w:id="29"/>
    </w:p>
    <w:p>
      <w:pPr>
        <w:pStyle w:val="FirstParagraph"/>
      </w:pPr>
      <w:r>
        <w:t xml:space="preserve">Which One Doesn’t Belong? (Warm-up)</w:t>
      </w:r>
    </w:p>
    <w:p>
      <w:pPr>
        <w:pStyle w:val="Heading3"/>
      </w:pPr>
      <w:bookmarkStart w:id="30" w:name="materials-to-gather"/>
      <w:r>
        <w:t xml:space="preserve">Materials to Gather</w:t>
      </w:r>
      <w:bookmarkEnd w:id="30"/>
    </w:p>
    <w:p>
      <w:pPr>
        <w:numPr>
          <w:ilvl w:val="0"/>
          <w:numId w:val="1005"/>
        </w:numPr>
      </w:pPr>
      <w:r>
        <w:t xml:space="preserve">Materials from a previous lesson: Activity 1, Activity 2</w:t>
      </w:r>
    </w:p>
    <w:p>
      <w:pPr>
        <w:numPr>
          <w:ilvl w:val="0"/>
          <w:numId w:val="1005"/>
        </w:numPr>
      </w:pPr>
      <w:r>
        <w:t xml:space="preserve">Materials from previous centers: Activity 3</w:t>
      </w:r>
    </w:p>
    <w:p>
      <w:pPr>
        <w:pStyle w:val="Heading3"/>
      </w:pPr>
      <w:bookmarkStart w:id="31" w:name="lesson-timeline"/>
      <w:r>
        <w:t xml:space="preserve">Lesson Timeline</w:t>
      </w:r>
      <w:bookmarkEnd w:id="31"/>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10 min</w:t>
            </w:r>
          </w:p>
        </w:tc>
      </w:tr>
      <w:tr>
        <w:tc>
          <w:p>
            <w:pPr>
              <w:pStyle w:val="Compact"/>
              <w:jc w:val="left"/>
            </w:pPr>
            <w:r>
              <w:t xml:space="preserve">Activity 2</w:t>
            </w:r>
          </w:p>
        </w:tc>
        <w:tc>
          <w:p>
            <w:pPr>
              <w:pStyle w:val="Compact"/>
              <w:jc w:val="left"/>
            </w:pPr>
            <w:r>
              <w:t xml:space="preserve">15 min</w:t>
            </w:r>
          </w:p>
        </w:tc>
      </w:tr>
      <w:tr>
        <w:tc>
          <w:p>
            <w:pPr>
              <w:pStyle w:val="Compact"/>
              <w:jc w:val="left"/>
            </w:pPr>
            <w:r>
              <w:t xml:space="preserve">Activity 3</w:t>
            </w:r>
          </w:p>
        </w:tc>
        <w:tc>
          <w:p>
            <w:pPr>
              <w:pStyle w:val="Compact"/>
              <w:jc w:val="left"/>
            </w:pPr>
            <w:r>
              <w:t xml:space="preserve">15 min</w:t>
            </w:r>
          </w:p>
        </w:tc>
      </w:tr>
      <w:tr>
        <w:tc>
          <w:p>
            <w:pPr>
              <w:pStyle w:val="Compact"/>
              <w:jc w:val="left"/>
            </w:pPr>
            <w:r>
              <w:t xml:space="preserve">Lesson Synthesis</w:t>
            </w:r>
          </w:p>
        </w:tc>
        <w:tc>
          <w:p>
            <w:pPr>
              <w:pStyle w:val="Compact"/>
              <w:jc w:val="left"/>
            </w:pPr>
            <w:r>
              <w:t xml:space="preserve">5 min</w:t>
            </w:r>
          </w:p>
        </w:tc>
      </w:tr>
      <w:tr>
        <w:tc>
          <w:p>
            <w:pPr>
              <w:pStyle w:val="Compact"/>
              <w:jc w:val="left"/>
            </w:pPr>
            <w:r>
              <w:t xml:space="preserve">Cool-down</w:t>
            </w:r>
          </w:p>
        </w:tc>
        <w:tc>
          <w:p>
            <w:pPr>
              <w:pStyle w:val="Compact"/>
              <w:jc w:val="left"/>
            </w:pPr>
            <w:r>
              <w:t xml:space="preserve">5 min</w:t>
            </w:r>
          </w:p>
        </w:tc>
      </w:tr>
    </w:tbl>
    <w:p>
      <w:pPr>
        <w:pStyle w:val="Heading3"/>
      </w:pPr>
      <w:bookmarkStart w:id="32" w:name="teacher-reflection-question"/>
      <w:r>
        <w:t xml:space="preserve">Teacher Reflection Question</w:t>
      </w:r>
      <w:bookmarkEnd w:id="32"/>
    </w:p>
    <w:p>
      <w:pPr>
        <w:pStyle w:val="FirstParagraph"/>
      </w:pPr>
      <w:r>
        <w:t xml:space="preserve">At what points during the lesson did you learn the most about your students’ thinking? What structures made those points most valuable in learning about your students? How will you use what you learned in tomorrow’s lesson?</w:t>
      </w:r>
    </w:p>
    <w:p>
      <w:r>
        <w:pict>
          <v:rect style="width:0;height:1.5pt" o:hralign="center" o:hrstd="t" o:hr="t"/>
        </w:pict>
      </w:r>
    </w:p>
    <w:p>
      <w:pPr>
        <w:pStyle w:val="Heading2"/>
      </w:pPr>
      <w:bookmarkStart w:id="33" w:name="cool-down"/>
      <w:r>
        <w:t xml:space="preserve">Cool-down</w:t>
      </w:r>
      <w:bookmarkEnd w:id="33"/>
    </w:p>
    <w:p>
      <w:pPr>
        <w:pStyle w:val="FirstParagraph"/>
      </w:pPr>
      <w:r>
        <w:t xml:space="preserve">(to be completed at the end of the lesson)</w:t>
      </w:r>
    </w:p>
    <w:p>
      <w:pPr>
        <w:pStyle w:val="BodyText"/>
      </w:pPr>
      <w:r>
        <w:t xml:space="preserve">5</w:t>
      </w:r>
      <w:r>
        <w:t xml:space="preserve">min</w:t>
      </w:r>
    </w:p>
    <w:p>
      <w:pPr>
        <w:pStyle w:val="BodyText"/>
      </w:pPr>
      <w:r>
        <w:t xml:space="preserve">Expresiones de suma y de resta</w:t>
      </w:r>
    </w:p>
    <w:p>
      <w:pPr>
        <w:pStyle w:val="Heading3"/>
      </w:pPr>
      <w:bookmarkStart w:id="34" w:name="standards-alignments-1"/>
      <w:r>
        <w:t xml:space="preserve">Standards Alignments</w:t>
      </w:r>
      <w:bookmarkEnd w:id="34"/>
    </w:p>
    <w:tbl>
      <w:tblPr>
        <w:tblStyle w:val="Table"/>
        <w:tblW w:type="pct" w:w="0.0"/>
        <w:tblLook w:firstRow="0"/>
      </w:tblPr>
      <w:tblGrid/>
      <w:tr>
        <w:tc>
          <w:p>
            <w:pPr>
              <w:pStyle w:val="Compact"/>
              <w:jc w:val="left"/>
            </w:pPr>
            <w:r>
              <w:t xml:space="preserve">Addressing</w:t>
            </w:r>
          </w:p>
        </w:tc>
        <w:tc>
          <w:p>
            <w:pPr>
              <w:pStyle w:val="Compact"/>
              <w:jc w:val="left"/>
            </w:pPr>
            <w:r>
              <w:t xml:space="preserve">K.OA.A.2, K.OA.A.5</w:t>
            </w:r>
          </w:p>
        </w:tc>
      </w:tr>
    </w:tbl>
    <w:p>
      <w:pPr>
        <w:pStyle w:val="Heading3"/>
      </w:pPr>
      <w:bookmarkStart w:id="35" w:name="student-facing-task-statement"/>
      <w:r>
        <w:t xml:space="preserve">Student-facing Task Statement</w:t>
      </w:r>
      <w:bookmarkEnd w:id="35"/>
    </w:p>
    <w:p>
      <w:pPr>
        <w:pStyle w:val="FirstParagraph"/>
      </w:pPr>
      <w:r>
        <w:t xml:space="preserve">Encuentra el valor de cada expresión.</w:t>
      </w:r>
    </w:p>
    <w:p>
      <w:pPr>
        <w:numPr>
          <w:ilvl w:val="0"/>
          <w:numId w:val="1006"/>
        </w:numPr>
      </w:pPr>
      <m:oMath>
        <m:r>
          <m:t>2</m:t>
        </m:r>
        <m:r>
          <m:t>+</m:t>
        </m:r>
        <m:r>
          <m:t>3</m:t>
        </m:r>
      </m:oMath>
    </w:p>
    <w:p>
      <w:pPr>
        <w:numPr>
          <w:ilvl w:val="0"/>
          <w:numId w:val="1006"/>
        </w:numPr>
      </w:pPr>
      <m:oMath>
        <m:r>
          <m:t>4</m:t>
        </m:r>
        <m:r>
          <m:t>−</m:t>
        </m:r>
        <m:r>
          <m:t>1</m:t>
        </m:r>
      </m:oMath>
    </w:p>
    <w:p>
      <w:pPr>
        <w:numPr>
          <w:ilvl w:val="0"/>
          <w:numId w:val="1006"/>
        </w:numPr>
      </w:pPr>
      <m:oMath>
        <m:r>
          <m:t>5</m:t>
        </m:r>
        <m:r>
          <m:t>−</m:t>
        </m:r>
        <m:r>
          <m:t>3</m:t>
        </m:r>
      </m:oMath>
    </w:p>
    <w:p>
      <w:pPr>
        <w:pStyle w:val="Heading3"/>
      </w:pPr>
      <w:bookmarkStart w:id="36" w:name="student-responses"/>
      <w:r>
        <w:t xml:space="preserve">Student Responses</w:t>
      </w:r>
      <w:bookmarkEnd w:id="36"/>
    </w:p>
    <w:p>
      <w:pPr>
        <w:numPr>
          <w:ilvl w:val="0"/>
          <w:numId w:val="1007"/>
        </w:numPr>
      </w:pPr>
      <w:r>
        <w:t xml:space="preserve">5</w:t>
      </w:r>
    </w:p>
    <w:p>
      <w:pPr>
        <w:numPr>
          <w:ilvl w:val="0"/>
          <w:numId w:val="1007"/>
        </w:numPr>
      </w:pPr>
      <w:r>
        <w:t xml:space="preserve">3</w:t>
      </w:r>
    </w:p>
    <w:p>
      <w:pPr>
        <w:numPr>
          <w:ilvl w:val="0"/>
          <w:numId w:val="1007"/>
        </w:numPr>
      </w:pPr>
      <w:r>
        <w:t xml:space="preserve">2</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2022-01-23T23:45:01Z</dcterms:created>
  <dcterms:modified xsi:type="dcterms:W3CDTF">2022-01-23T23:45:01Z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fRg5JcSIaGrYMOBqSy456CT2t5xeuDeDjZjxr4CtCKyOA8XkS4V0YSR76FfLBb8cqPKI7SYMRwy97U17RFBLBQ==</vt:lpwstr>
  </property>
</Properties>
</file>