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2.svg" ContentType="image/svg+xml;base64"/>
  <Override PartName="/word/media/rId28.svg" ContentType="image/svg+xml;base64"/>
  <Override PartName="/word/media/rId41.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48" w:name="X39b6b6bbbaf783cc5639787c6fa7cd9458cebaf"/>
    <w:p>
      <w:pPr>
        <w:pStyle w:val="Heading1"/>
      </w:pPr>
      <w:r>
        <w:t xml:space="preserve">Lesson 5: Ordenemos números del 1 al 20 (Optional)</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K.CC, K.CC.A.1, K.CC.A.2, K.CC.A.3</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Order numbers 1-20.</w:t>
      </w:r>
    </w:p>
    <w:p>
      <w:pPr>
        <w:numPr>
          <w:ilvl w:val="0"/>
          <w:numId w:val="1001"/>
        </w:numPr>
        <w:pStyle w:val="Compact"/>
      </w:pPr>
      <w:r>
        <w:t xml:space="preserve">Use knowledge of the count sequence to add and subtract 1 and determine one more and one less.</w:t>
      </w:r>
    </w:p>
    <w:bookmarkEnd w:id="24"/>
    <w:bookmarkStart w:id="25" w:name="student-facing-learning-goals"/>
    <w:p>
      <w:pPr>
        <w:pStyle w:val="Heading3"/>
      </w:pPr>
      <w:r>
        <w:t xml:space="preserve">Student-facing Learning Goals</w:t>
      </w:r>
    </w:p>
    <w:p>
      <w:pPr>
        <w:numPr>
          <w:ilvl w:val="0"/>
          <w:numId w:val="1002"/>
        </w:numPr>
        <w:pStyle w:val="Compact"/>
      </w:pPr>
      <w:r>
        <w:t xml:space="preserve">Pensemos en el orden de los números del 1 al 20.</w:t>
      </w:r>
    </w:p>
    <w:bookmarkEnd w:id="25"/>
    <w:bookmarkStart w:id="26" w:name="lesson-purpose"/>
    <w:p>
      <w:pPr>
        <w:pStyle w:val="Heading3"/>
      </w:pPr>
      <w:r>
        <w:t xml:space="preserve">Lesson Purpose</w:t>
      </w:r>
    </w:p>
    <w:p>
      <w:pPr>
        <w:pStyle w:val="FirstParagraph"/>
      </w:pPr>
      <w:r>
        <w:t xml:space="preserve">The purpose of this lesson is for students to put numbers 1–20 in order and use their knowledge of the count sequence to identify one more or one less than a given number.</w:t>
      </w:r>
    </w:p>
    <w:p>
      <w:pPr>
        <w:pStyle w:val="BodyText"/>
      </w:pPr>
      <w:r>
        <w:t xml:space="preserve">In a previous lesson, students initially counted out objects and added or subtracted one object to determine one more or one less than a given number. In this lesson, students continue working on identifying one more and one less than a given number up to 20 without objects and relating one more and one less to the count sequence (MP8). This lesson is optional because the standards do not require students to compare groups of objects or written numbers beyond 10.</w:t>
      </w:r>
    </w:p>
    <w:p>
      <w:pPr>
        <w:pStyle w:val="BodyText"/>
      </w:pPr>
      <w:r>
        <w:t xml:space="preserve">If students need additional support with the concepts in this lesson, refer back to Unit 6, Section B in the curriculum materials.</w:t>
      </w:r>
    </w:p>
    <w:p>
      <w:pPr>
        <w:pStyle w:val="BodyText"/>
      </w:pPr>
      <w:r>
        <w:t xml:space="preserve">This lesson has a Student Section Summary.</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Engagement (Activity 2)</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MLR8 (Activity 1)</w:t>
      </w:r>
    </w:p>
    <w:bookmarkEnd w:id="35"/>
    <w:bookmarkStart w:id="36" w:name="instructional-routines"/>
    <w:p>
      <w:pPr>
        <w:pStyle w:val="Heading3"/>
      </w:pPr>
      <w:r>
        <w:t xml:space="preserve">Instructional Routines</w:t>
      </w:r>
    </w:p>
    <w:p>
      <w:pPr>
        <w:pStyle w:val="FirstParagraph"/>
      </w:pPr>
      <w:r>
        <w:t xml:space="preserve">Choral Count (Warm-up)</w:t>
      </w:r>
    </w:p>
    <w:bookmarkEnd w:id="36"/>
    <w:bookmarkStart w:id="37" w:name="materials-to-gather"/>
    <w:p>
      <w:pPr>
        <w:pStyle w:val="Heading3"/>
      </w:pPr>
      <w:r>
        <w:t xml:space="preserve">Materials to Gather</w:t>
      </w:r>
    </w:p>
    <w:p>
      <w:pPr>
        <w:numPr>
          <w:ilvl w:val="0"/>
          <w:numId w:val="1005"/>
        </w:numPr>
        <w:pStyle w:val="Compact"/>
      </w:pPr>
      <w:r>
        <w:t xml:space="preserve">Materials from previous centers: Activity 3</w:t>
      </w:r>
    </w:p>
    <w:bookmarkEnd w:id="37"/>
    <w:bookmarkStart w:id="38" w:name="materials-to-copy"/>
    <w:p>
      <w:pPr>
        <w:pStyle w:val="Heading3"/>
      </w:pPr>
      <w:r>
        <w:t xml:space="preserve">Materials to Copy</w:t>
      </w:r>
    </w:p>
    <w:p>
      <w:pPr>
        <w:numPr>
          <w:ilvl w:val="0"/>
          <w:numId w:val="1006"/>
        </w:numPr>
        <w:pStyle w:val="Compact"/>
      </w:pPr>
      <w:r>
        <w:t xml:space="preserve">Number Cards 1-20 (groups of 4): Activity 1</w:t>
      </w:r>
    </w:p>
    <w:p>
      <w:pPr>
        <w:numPr>
          <w:ilvl w:val="0"/>
          <w:numId w:val="1006"/>
        </w:numPr>
        <w:pStyle w:val="Compact"/>
      </w:pPr>
      <w:r>
        <w:t xml:space="preserve">Number Clues, Spanish (groups of 2): Activity 2</w:t>
      </w:r>
    </w:p>
    <w:bookmarkEnd w:id="38"/>
    <w:bookmarkStart w:id="39"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10 min</w:t>
            </w:r>
          </w:p>
        </w:tc>
      </w:tr>
      <w:tr>
        <w:tc>
          <w:tcPr/>
          <w:p>
            <w:pPr>
              <w:pStyle w:val="Compact"/>
              <w:jc w:val="left"/>
            </w:pPr>
            <w:r>
              <w:t xml:space="preserve">Activity 2</w:t>
            </w:r>
          </w:p>
        </w:tc>
        <w:tc>
          <w:tcPr/>
          <w:p>
            <w:pPr>
              <w:pStyle w:val="Compact"/>
              <w:jc w:val="left"/>
            </w:pPr>
            <w:r>
              <w:t xml:space="preserve">15 min</w:t>
            </w:r>
          </w:p>
        </w:tc>
      </w:tr>
      <w:tr>
        <w:tc>
          <w:tcPr/>
          <w:p>
            <w:pPr>
              <w:pStyle w:val="Compact"/>
              <w:jc w:val="left"/>
            </w:pPr>
            <w:r>
              <w:t xml:space="preserve">Activity 3</w:t>
            </w:r>
          </w:p>
        </w:tc>
        <w:tc>
          <w:tcPr/>
          <w:p>
            <w:pPr>
              <w:pStyle w:val="Compact"/>
              <w:jc w:val="left"/>
            </w:pPr>
            <w:r>
              <w:t xml:space="preserve">20 min</w:t>
            </w:r>
          </w:p>
        </w:tc>
      </w:tr>
      <w:tr>
        <w:tc>
          <w:tcPr/>
          <w:p>
            <w:pPr>
              <w:pStyle w:val="Compact"/>
              <w:jc w:val="left"/>
            </w:pPr>
            <w:r>
              <w:t xml:space="preserve">Lesson Synthesis</w:t>
            </w:r>
          </w:p>
        </w:tc>
        <w:tc>
          <w:tcPr/>
          <w:p>
            <w:pPr>
              <w:pStyle w:val="Compact"/>
              <w:jc w:val="left"/>
            </w:pPr>
            <w:r>
              <w:t xml:space="preserve">5 min</w:t>
            </w:r>
          </w:p>
        </w:tc>
      </w:tr>
    </w:tbl>
    <w:bookmarkEnd w:id="39"/>
    <w:bookmarkStart w:id="40" w:name="teacher-reflection-question"/>
    <w:p>
      <w:pPr>
        <w:pStyle w:val="Heading3"/>
      </w:pPr>
      <w:r>
        <w:t xml:space="preserve">Teacher Reflection Question</w:t>
      </w:r>
    </w:p>
    <w:p>
      <w:pPr>
        <w:pStyle w:val="FirstParagraph"/>
      </w:pPr>
      <w:r>
        <w:t xml:space="preserve">Were you able to circulate and hear student thinking while students worked together in the second activity? If so, what routines or structures helped students work independently? If not, what routines or structures can you establish to ensure that you are able to circulate and talk to students as they work in groups?</w:t>
      </w:r>
    </w:p>
    <w:p>
      <w:r>
        <w:pict>
          <v:rect style="width:0;height:1.5pt" o:hralign="center" o:hrstd="t" o:hr="t"/>
        </w:pict>
      </w:r>
    </w:p>
    <w:bookmarkEnd w:id="40"/>
    <w:bookmarkStart w:id="44"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2"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3"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41"/>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0</w:t>
      </w:r>
      <w:r>
        <w:t xml:space="preserve">min</w:t>
      </w:r>
    </w:p>
    <w:p>
      <w:pPr>
        <w:pStyle w:val="BodyText"/>
      </w:pPr>
      <w:r>
        <w:t xml:space="preserve">Unidad 8, punto de chequeo de la sección A</w:t>
      </w:r>
    </w:p>
    <w:bookmarkEnd w:id="44"/>
    <w:bookmarkStart w:id="45"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K.CC</w:t>
            </w:r>
          </w:p>
        </w:tc>
      </w:tr>
    </w:tbl>
    <w:bookmarkEnd w:id="45"/>
    <w:bookmarkStart w:id="46" w:name="student-facing-task-statement"/>
    <w:p>
      <w:pPr>
        <w:pStyle w:val="Heading3"/>
      </w:pPr>
      <w:r>
        <w:t xml:space="preserve">Student-facing Task Statement</w:t>
      </w:r>
    </w:p>
    <w:p>
      <w:pPr>
        <w:pStyle w:val="FirstParagraph"/>
      </w:pPr>
      <w:r>
        <w:t xml:space="preserve">Lesson observations</w:t>
      </w:r>
    </w:p>
    <w:bookmarkEnd w:id="46"/>
    <w:bookmarkStart w:id="47" w:name="student-responses"/>
    <w:p>
      <w:pPr>
        <w:pStyle w:val="Heading3"/>
      </w:pPr>
      <w:r>
        <w:t xml:space="preserve">Student Responses</w:t>
      </w:r>
    </w:p>
    <w:p>
      <w:pPr>
        <w:numPr>
          <w:ilvl w:val="0"/>
          <w:numId w:val="1007"/>
        </w:numPr>
        <w:pStyle w:val="Compact"/>
      </w:pPr>
      <w:r>
        <w:t xml:space="preserve">Count, read, and write numbers up to 20.</w:t>
      </w:r>
    </w:p>
    <w:p>
      <w:pPr>
        <w:numPr>
          <w:ilvl w:val="0"/>
          <w:numId w:val="1007"/>
        </w:numPr>
        <w:pStyle w:val="Compact"/>
      </w:pPr>
      <w:r>
        <w:t xml:space="preserve">Use their knowledge of the count sequence to find the new number after one is added or taken away from a given number.</w:t>
      </w:r>
    </w:p>
    <w:bookmarkEnd w:id="47"/>
    <w:bookmarkEnd w:id="48"/>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 w:numId="1007">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41" Target="media/rId41.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2022-12-14T22:51:36Z</dcterms:created>
  <dcterms:modified xsi:type="dcterms:W3CDTF">2022-12-14T22:51:36Z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yP2e8hUqKpy3nnzIhO9JcbhXoqrgATbVms9y501p+Yzs+dureaLSwXJ639bVi2UZgb/bLPSLa84fRZeXOWb60Q==</vt:lpwstr>
  </property>
</Properties>
</file>