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0.svg" ContentType="image/svg+xml;base64"/>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0" name="Picture"/>
                    <pic:cNvPicPr>
                      <a:picLocks noChangeArrowheads="1" noChangeAspect="1"/>
                    </pic:cNvPicPr>
                  </pic:nvPicPr>
                  <pic:blipFill>
                    <a:blip r:embed="rId20"/>
                    <a:stretch>
                      <a:fillRect/>
                    </a:stretch>
                  </pic:blipFill>
                  <pic:spPr bwMode="auto">
                    <a:xfrm>
                      <a:off x="0" y="0"/>
                      <a:ext cx="3810000" cy="2540000"/>
                    </a:xfrm>
                    <a:prstGeom prst="rect">
                      <a:avLst/>
                    </a:prstGeom>
                    <a:noFill/>
                    <a:ln w="9525">
                      <a:noFill/>
                      <a:headEnd/>
                      <a:tailEnd/>
                    </a:ln>
                  </pic:spPr>
                </pic:pic>
              </a:graphicData>
            </a:graphic>
          </wp:inline>
        </w:drawing>
      </w:r>
    </w:p>
    <w:p>
      <w:pPr>
        <w:pStyle w:val="Heading1"/>
      </w:pPr>
      <w:bookmarkStart w:id="21" w:name="Xd8f397958246a641439f73de6ae96cea43bd9f9"/>
      <w:r>
        <w:t xml:space="preserve">Lesson 4: Sumemos y restemos a nuestra manera</w:t>
      </w:r>
      <w:bookmarkEnd w:id="21"/>
    </w:p>
    <w:p>
      <w:pPr>
        <w:pStyle w:val="Heading3"/>
      </w:pPr>
      <w:bookmarkStart w:id="22" w:name="standards-alignments"/>
      <w:r>
        <w:t xml:space="preserve">Standards Alignments</w:t>
      </w:r>
      <w:bookmarkEnd w:id="22"/>
    </w:p>
    <w:tbl>
      <w:tblPr>
        <w:tblStyle w:val="Table"/>
        <w:tblW w:type="pct" w:w="0.0"/>
        <w:tblLook w:firstRow="0"/>
      </w:tblPr>
      <w:tblGrid/>
      <w:tr>
        <w:tc>
          <w:p>
            <w:pPr>
              <w:pStyle w:val="Compact"/>
              <w:jc w:val="left"/>
            </w:pPr>
            <w:r>
              <w:t xml:space="preserve">Addressing</w:t>
            </w:r>
          </w:p>
        </w:tc>
        <w:tc>
          <w:p>
            <w:pPr>
              <w:pStyle w:val="Compact"/>
              <w:jc w:val="left"/>
            </w:pPr>
            <w:r>
              <w:t xml:space="preserve">2.OA.B.2</w:t>
            </w:r>
          </w:p>
        </w:tc>
      </w:tr>
    </w:tbl>
    <w:p>
      <w:pPr>
        <w:pStyle w:val="Heading3"/>
      </w:pPr>
      <w:bookmarkStart w:id="23" w:name="teacher-facing-learning-goals"/>
      <w:r>
        <w:t xml:space="preserve">Teacher-facing Learning Goals</w:t>
      </w:r>
      <w:bookmarkEnd w:id="23"/>
    </w:p>
    <w:p>
      <w:pPr>
        <w:numPr>
          <w:ilvl w:val="0"/>
          <w:numId w:val="1001"/>
        </w:numPr>
      </w:pPr>
      <w:r>
        <w:t xml:space="preserve">Add and subtract within 20 in a way that makes sense to them.</w:t>
      </w:r>
    </w:p>
    <w:p>
      <w:pPr>
        <w:pStyle w:val="Heading3"/>
      </w:pPr>
      <w:bookmarkStart w:id="24" w:name="student-facing-learning-goals"/>
      <w:r>
        <w:t xml:space="preserve">Student-facing Learning Goals</w:t>
      </w:r>
      <w:bookmarkEnd w:id="24"/>
    </w:p>
    <w:p>
      <w:pPr>
        <w:numPr>
          <w:ilvl w:val="0"/>
          <w:numId w:val="1002"/>
        </w:numPr>
      </w:pPr>
      <w:r>
        <w:t xml:space="preserve">Sumemos y restemos hasta 20.</w:t>
      </w:r>
    </w:p>
    <w:p>
      <w:pPr>
        <w:pStyle w:val="Heading3"/>
      </w:pPr>
      <w:bookmarkStart w:id="25" w:name="lesson-purpose"/>
      <w:r>
        <w:t xml:space="preserve">Lesson Purpose</w:t>
      </w:r>
      <w:bookmarkEnd w:id="25"/>
    </w:p>
    <w:p>
      <w:pPr>
        <w:pStyle w:val="FirstParagraph"/>
      </w:pPr>
      <w:r>
        <w:t xml:space="preserve">The purpose of this lesson is for students to add and subtract within 20 in a way that makes sense to them.</w:t>
      </w:r>
    </w:p>
    <w:p>
      <w:pPr>
        <w:pStyle w:val="BodyText"/>
      </w:pPr>
      <w:r>
        <w:t xml:space="preserve">The work in this lesson builds from grade 1, where students add and subtract within 20 with different strategies. This is a chance to formatively assess how students find sums and differences in this range. Connecting cubes organized in towers of 10 and singles should be made available for students to use, however encourage students not to use them if they don’t need them. By the end of grade 2, students must fluently add and subtract within 20.</w:t>
      </w:r>
    </w:p>
    <w:p>
      <w:pPr>
        <w:pStyle w:val="BodyText"/>
      </w:pPr>
      <w:r>
        <w:rPr>
          <w:b/>
        </w:rPr>
        <w:t xml:space="preserve">Math Community</w:t>
      </w:r>
      <w:r>
        <w:br/>
      </w:r>
      <w:r>
        <w:t xml:space="preserve">Tell students that, at the end of the lesson, they will be asked to identify specific examples of norms they experienced as they did math.</w:t>
      </w:r>
    </w:p>
    <w:p>
      <w:pPr>
        <w:pStyle w:val="Heading3"/>
      </w:pPr>
      <w:bookmarkStart w:id="26" w:name="access-for"/>
      <w:r>
        <w:t xml:space="preserve">Access for:</w:t>
      </w:r>
      <w:bookmarkEnd w:id="26"/>
    </w:p>
    <w:p>
      <w:pPr>
        <w:pStyle w:val="Heading3"/>
      </w:pPr>
      <w:bookmarkStart w:id="27" w:name="students-with-disabilities"/>
      <w:r>
        <w:t xml:space="preserve">Students with Disabilities</w:t>
      </w:r>
      <w:bookmarkEnd w:id="27"/>
    </w:p>
    <w:p>
      <w:pPr>
        <w:numPr>
          <w:ilvl w:val="0"/>
          <w:numId w:val="1003"/>
        </w:numPr>
      </w:pPr>
      <w:r>
        <w:t xml:space="preserve">Action and Expression (Activity 1)</w:t>
      </w:r>
    </w:p>
    <w:p>
      <w:pPr>
        <w:pStyle w:val="Heading3"/>
      </w:pPr>
      <w:bookmarkStart w:id="28" w:name="english-learners"/>
      <w:r>
        <w:t xml:space="preserve">English Learners</w:t>
      </w:r>
      <w:bookmarkEnd w:id="28"/>
    </w:p>
    <w:p>
      <w:pPr>
        <w:numPr>
          <w:ilvl w:val="0"/>
          <w:numId w:val="1004"/>
        </w:numPr>
      </w:pPr>
      <w:r>
        <w:t xml:space="preserve">MLR2 (Activity 1)</w:t>
      </w:r>
    </w:p>
    <w:p>
      <w:pPr>
        <w:pStyle w:val="Heading3"/>
      </w:pPr>
      <w:bookmarkStart w:id="29" w:name="instructional-routines"/>
      <w:r>
        <w:t xml:space="preserve">Instructional Routines</w:t>
      </w:r>
      <w:bookmarkEnd w:id="29"/>
    </w:p>
    <w:p>
      <w:pPr>
        <w:pStyle w:val="FirstParagraph"/>
      </w:pPr>
      <w:r>
        <w:t xml:space="preserve">Number Talk (Warm-up)</w:t>
      </w:r>
    </w:p>
    <w:p>
      <w:pPr>
        <w:pStyle w:val="Heading3"/>
      </w:pPr>
      <w:bookmarkStart w:id="30" w:name="materials-to-gather"/>
      <w:r>
        <w:t xml:space="preserve">Materials to Gather</w:t>
      </w:r>
      <w:bookmarkEnd w:id="30"/>
    </w:p>
    <w:p>
      <w:pPr>
        <w:numPr>
          <w:ilvl w:val="0"/>
          <w:numId w:val="1005"/>
        </w:numPr>
      </w:pPr>
      <w:r>
        <w:t xml:space="preserve">Connecting cubes: Activity 2</w:t>
      </w:r>
    </w:p>
    <w:p>
      <w:pPr>
        <w:numPr>
          <w:ilvl w:val="0"/>
          <w:numId w:val="1005"/>
        </w:numPr>
      </w:pPr>
      <w:r>
        <w:t xml:space="preserve">Number cards 0–10: Activity 1</w:t>
      </w:r>
    </w:p>
    <w:p>
      <w:pPr>
        <w:pStyle w:val="Heading3"/>
      </w:pPr>
      <w:bookmarkStart w:id="31" w:name="materials-to-copy"/>
      <w:r>
        <w:t xml:space="preserve">Materials to Copy</w:t>
      </w:r>
      <w:bookmarkEnd w:id="31"/>
    </w:p>
    <w:p>
      <w:pPr>
        <w:numPr>
          <w:ilvl w:val="0"/>
          <w:numId w:val="1006"/>
        </w:numPr>
      </w:pPr>
      <w:r>
        <w:t xml:space="preserve">How Close? Stage 1 Recording Sheet, Spanish (groups of 1): Activity 1</w:t>
      </w:r>
    </w:p>
    <w:p>
      <w:pPr>
        <w:pStyle w:val="Heading3"/>
      </w:pPr>
      <w:bookmarkStart w:id="32" w:name="lesson-timeline"/>
      <w:r>
        <w:t xml:space="preserve">Lesson Timeline</w:t>
      </w:r>
      <w:bookmarkEnd w:id="32"/>
    </w:p>
    <w:tbl>
      <w:tblPr>
        <w:tblStyle w:val="Table"/>
        <w:tblW w:type="pct" w:w="0.0"/>
        <w:tblLook w:firstRow="0"/>
      </w:tblPr>
      <w:tblGrid/>
      <w:tr>
        <w:tc>
          <w:p>
            <w:pPr>
              <w:pStyle w:val="Compact"/>
              <w:jc w:val="left"/>
            </w:pPr>
            <w:r>
              <w:t xml:space="preserve">Warm-up</w:t>
            </w:r>
          </w:p>
        </w:tc>
        <w:tc>
          <w:p>
            <w:pPr>
              <w:pStyle w:val="Compact"/>
              <w:jc w:val="left"/>
            </w:pPr>
            <w:r>
              <w:t xml:space="preserve">10 min</w:t>
            </w:r>
          </w:p>
        </w:tc>
      </w:tr>
      <w:tr>
        <w:tc>
          <w:p>
            <w:pPr>
              <w:pStyle w:val="Compact"/>
              <w:jc w:val="left"/>
            </w:pPr>
            <w:r>
              <w:t xml:space="preserve">Activity 1</w:t>
            </w:r>
          </w:p>
        </w:tc>
        <w:tc>
          <w:p>
            <w:pPr>
              <w:pStyle w:val="Compact"/>
              <w:jc w:val="left"/>
            </w:pPr>
            <w:r>
              <w:t xml:space="preserve">20 min</w:t>
            </w:r>
          </w:p>
        </w:tc>
      </w:tr>
      <w:tr>
        <w:tc>
          <w:p>
            <w:pPr>
              <w:pStyle w:val="Compact"/>
              <w:jc w:val="left"/>
            </w:pPr>
            <w:r>
              <w:t xml:space="preserve">Activity 2</w:t>
            </w:r>
          </w:p>
        </w:tc>
        <w:tc>
          <w:p>
            <w:pPr>
              <w:pStyle w:val="Compact"/>
              <w:jc w:val="left"/>
            </w:pPr>
            <w:r>
              <w:t xml:space="preserve">15 min</w:t>
            </w:r>
          </w:p>
        </w:tc>
      </w:tr>
      <w:tr>
        <w:tc>
          <w:p>
            <w:pPr>
              <w:pStyle w:val="Compact"/>
              <w:jc w:val="left"/>
            </w:pPr>
            <w:r>
              <w:t xml:space="preserve">Lesson Synthesis</w:t>
            </w:r>
          </w:p>
        </w:tc>
        <w:tc>
          <w:p>
            <w:pPr>
              <w:pStyle w:val="Compact"/>
              <w:jc w:val="left"/>
            </w:pPr>
            <w:r>
              <w:t xml:space="preserve">10 min</w:t>
            </w:r>
          </w:p>
        </w:tc>
      </w:tr>
      <w:tr>
        <w:tc>
          <w:p>
            <w:pPr>
              <w:pStyle w:val="Compact"/>
              <w:jc w:val="left"/>
            </w:pPr>
            <w:r>
              <w:t xml:space="preserve">Cool-down</w:t>
            </w:r>
          </w:p>
        </w:tc>
        <w:tc>
          <w:p>
            <w:pPr>
              <w:pStyle w:val="Compact"/>
              <w:jc w:val="left"/>
            </w:pPr>
            <w:r>
              <w:t xml:space="preserve">5 min</w:t>
            </w:r>
          </w:p>
        </w:tc>
      </w:tr>
    </w:tbl>
    <w:p>
      <w:pPr>
        <w:pStyle w:val="Heading3"/>
      </w:pPr>
      <w:bookmarkStart w:id="33" w:name="teacher-reflection-question"/>
      <w:r>
        <w:t xml:space="preserve">Teacher Reflection Question</w:t>
      </w:r>
      <w:bookmarkEnd w:id="33"/>
    </w:p>
    <w:p>
      <w:pPr>
        <w:pStyle w:val="FirstParagraph"/>
      </w:pPr>
      <w:r>
        <w:t xml:space="preserve">By the end of grade 2, students must be fluent with addition and subtraction within 20, including knowing all sums of 2 one-digit numbers by memory. What did you learn about your students during today’s activities that will help you prepare all students to meet this standard?</w:t>
      </w:r>
    </w:p>
    <w:p>
      <w:r>
        <w:pict>
          <v:rect style="width:0;height:1.5pt" o:hralign="center" o:hrstd="t" o:hr="t"/>
        </w:pict>
      </w:r>
    </w:p>
    <w:p>
      <w:pPr>
        <w:pStyle w:val="Heading2"/>
      </w:pPr>
      <w:bookmarkStart w:id="34" w:name="cool-down"/>
      <w:r>
        <w:t xml:space="preserve">Cool-down</w:t>
      </w:r>
      <w:bookmarkEnd w:id="34"/>
    </w:p>
    <w:p>
      <w:pPr>
        <w:pStyle w:val="FirstParagraph"/>
      </w:pPr>
      <w:r>
        <w:t xml:space="preserve">(to be completed at the end of the lesson)</w:t>
      </w:r>
    </w:p>
    <w:p>
      <w:pPr>
        <w:pStyle w:val="BodyText"/>
      </w:pPr>
      <w:r>
        <w:t xml:space="preserve">5</w:t>
      </w:r>
      <w:r>
        <w:t xml:space="preserve">min</w:t>
      </w:r>
    </w:p>
    <w:p>
      <w:pPr>
        <w:pStyle w:val="BodyText"/>
      </w:pPr>
      <w:r>
        <w:t xml:space="preserve">Sumas y diferencias</w:t>
      </w:r>
    </w:p>
    <w:p>
      <w:pPr>
        <w:pStyle w:val="Heading3"/>
      </w:pPr>
      <w:bookmarkStart w:id="35" w:name="standards-alignments-1"/>
      <w:r>
        <w:t xml:space="preserve">Standards Alignments</w:t>
      </w:r>
      <w:bookmarkEnd w:id="35"/>
    </w:p>
    <w:tbl>
      <w:tblPr>
        <w:tblStyle w:val="Table"/>
        <w:tblW w:type="pct" w:w="0.0"/>
        <w:tblLook w:firstRow="0"/>
      </w:tblPr>
      <w:tblGrid/>
      <w:tr>
        <w:tc>
          <w:p>
            <w:pPr>
              <w:pStyle w:val="Compact"/>
              <w:jc w:val="left"/>
            </w:pPr>
            <w:r>
              <w:t xml:space="preserve">Addressing</w:t>
            </w:r>
          </w:p>
        </w:tc>
        <w:tc>
          <w:p>
            <w:pPr>
              <w:pStyle w:val="Compact"/>
              <w:jc w:val="left"/>
            </w:pPr>
            <w:r>
              <w:t xml:space="preserve">2.OA.B.2</w:t>
            </w:r>
          </w:p>
        </w:tc>
      </w:tr>
    </w:tbl>
    <w:p>
      <w:pPr>
        <w:pStyle w:val="Heading3"/>
      </w:pPr>
      <w:bookmarkStart w:id="36" w:name="student-facing-task-statement"/>
      <w:r>
        <w:t xml:space="preserve">Student-facing Task Statement</w:t>
      </w:r>
      <w:bookmarkEnd w:id="36"/>
    </w:p>
    <w:p>
      <w:pPr>
        <w:pStyle w:val="FirstParagraph"/>
      </w:pPr>
      <w:r>
        <w:t xml:space="preserve">Encuentra el valor de cada expresión. Muestra cómo pensaste. Usa dibujos, números o palabras.</w:t>
      </w:r>
    </w:p>
    <w:p>
      <w:pPr>
        <w:numPr>
          <w:ilvl w:val="0"/>
          <w:numId w:val="1007"/>
        </w:numPr>
      </w:pPr>
      <m:oMath>
        <m:r>
          <m:t>8</m:t>
        </m:r>
        <m:r>
          <m:t>+</m:t>
        </m:r>
        <m:r>
          <m:t>6</m:t>
        </m:r>
      </m:oMath>
    </w:p>
    <w:p>
      <w:pPr>
        <w:numPr>
          <w:ilvl w:val="0"/>
          <w:numId w:val="1007"/>
        </w:numPr>
      </w:pPr>
      <m:oMath>
        <m:r>
          <m:t>13</m:t>
        </m:r>
        <m:r>
          <m:t>−</m:t>
        </m:r>
        <m:r>
          <m:t>5</m:t>
        </m:r>
      </m:oMath>
    </w:p>
    <w:p>
      <w:pPr>
        <w:numPr>
          <w:ilvl w:val="0"/>
          <w:numId w:val="1007"/>
        </w:numPr>
      </w:pPr>
      <m:oMath>
        <m:r>
          <m:t>16</m:t>
        </m:r>
        <m:r>
          <m:t>−</m:t>
        </m:r>
        <m:r>
          <m:t>4</m:t>
        </m:r>
      </m:oMath>
    </w:p>
    <w:p>
      <w:pPr>
        <w:pStyle w:val="Heading3"/>
      </w:pPr>
      <w:bookmarkStart w:id="37" w:name="student-responses"/>
      <w:r>
        <w:t xml:space="preserve">Student Responses</w:t>
      </w:r>
      <w:bookmarkEnd w:id="37"/>
    </w:p>
    <w:p>
      <w:pPr>
        <w:numPr>
          <w:ilvl w:val="0"/>
          <w:numId w:val="1008"/>
        </w:numPr>
      </w:pPr>
      <w:r>
        <w:t xml:space="preserve">14. Sample response:</w:t>
      </w:r>
      <w:r>
        <w:t xml:space="preserve"> </w:t>
      </w:r>
      <m:oMath>
        <m:r>
          <m:t>8</m:t>
        </m:r>
        <m:r>
          <m:t>+</m:t>
        </m:r>
        <m:r>
          <m:t>2</m:t>
        </m:r>
        <m:r>
          <m:t>=</m:t>
        </m:r>
        <m:r>
          <m:t>10</m:t>
        </m:r>
      </m:oMath>
      <w:r>
        <w:t xml:space="preserve">,</w:t>
      </w:r>
      <w:r>
        <w:t xml:space="preserve"> </w:t>
      </w:r>
      <m:oMath>
        <m:r>
          <m:t>10</m:t>
        </m:r>
        <m:r>
          <m:t>+</m:t>
        </m:r>
        <m:r>
          <m:t>4</m:t>
        </m:r>
        <m:r>
          <m:t>=</m:t>
        </m:r>
        <m:r>
          <m:t>14</m:t>
        </m:r>
      </m:oMath>
    </w:p>
    <w:p>
      <w:pPr>
        <w:numPr>
          <w:ilvl w:val="0"/>
          <w:numId w:val="1008"/>
        </w:numPr>
      </w:pPr>
      <w:r>
        <w:t xml:space="preserve">8. Sample response:</w:t>
      </w:r>
      <w:r>
        <w:t xml:space="preserve"> </w:t>
      </w:r>
      <m:oMath>
        <m:r>
          <m:t>13</m:t>
        </m:r>
        <m:r>
          <m:t>−</m:t>
        </m:r>
        <m:r>
          <m:t>3</m:t>
        </m:r>
        <m:r>
          <m:t>=</m:t>
        </m:r>
        <m:r>
          <m:t>10</m:t>
        </m:r>
      </m:oMath>
      <w:r>
        <w:t xml:space="preserve">,</w:t>
      </w:r>
      <w:r>
        <w:t xml:space="preserve"> </w:t>
      </w:r>
      <m:oMath>
        <m:r>
          <m:t>10</m:t>
        </m:r>
        <m:r>
          <m:t>−</m:t>
        </m:r>
        <m:r>
          <m:t>2</m:t>
        </m:r>
        <m:r>
          <m:t>=</m:t>
        </m:r>
        <m:r>
          <m:t>8</m:t>
        </m:r>
      </m:oMath>
    </w:p>
    <w:p>
      <w:pPr>
        <w:numPr>
          <w:ilvl w:val="0"/>
          <w:numId w:val="1008"/>
        </w:numPr>
      </w:pPr>
      <w:r>
        <w:t xml:space="preserve">12. Sample response: I just subtracted the ones</w:t>
      </w:r>
      <w:r>
        <w:t xml:space="preserve"> </w:t>
      </w:r>
      <m:oMath>
        <m:r>
          <m:t>6</m:t>
        </m:r>
        <m:r>
          <m:t>−</m:t>
        </m:r>
        <m:r>
          <m:t>4</m:t>
        </m:r>
        <m:r>
          <m:t>=</m:t>
        </m:r>
        <m:r>
          <m:t>2</m:t>
        </m:r>
      </m:oMath>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0" Target="media/rId20.sv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2022-01-25T19:31:49Z</dcterms:created>
  <dcterms:modified xsi:type="dcterms:W3CDTF">2022-01-25T19:31:49Z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kAvNDU+mh23LVJIMf2nfWz/X8yJhneobCQjWhKsbJPvxEHYIIx06jKmVNnAXaSQ4p/BRs3jP3bU0LDp2QfVtNQ==</vt:lpwstr>
  </property>
</Properties>
</file>