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20.svg" ContentType="image/svg+xml;base64"/>
  <Override PartName="/word/media/image1.png" ContentType="image/png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drawing>
          <wp:inline>
            <wp:extent cx="3810000" cy="2540000"/>
            <wp:effectExtent b="0" l="0" r="0" t="0"/>
            <wp:docPr descr="" title="" id="1" name="Picture"/>
            <a:graphic>
              <a:graphicData uri="http://schemas.openxmlformats.org/drawingml/2006/picture">
                <pic:pic>
                  <pic:nvPicPr>
                    <pic:cNvPr descr="data:image/svg+xml;base64,PHN2ZyBoZWlnaHQ9IjAuM2luIiB4bWxucz0iaHR0cDovL3d3dy53My5vcmcv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%0AWiIvPgogIDwvZz4KPC9zdmc+%0A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5400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Heading1"/>
      </w:pPr>
      <w:bookmarkStart w:id="21" w:name="lesson-10-conozcamos-el-tablero-de-10"/>
      <w:r>
        <w:t xml:space="preserve">Lesson 10: Conozcamos el tablero de 10</w:t>
      </w:r>
      <w:bookmarkEnd w:id="21"/>
    </w:p>
    <w:p>
      <w:pPr>
        <w:pStyle w:val="Heading3"/>
      </w:pPr>
      <w:bookmarkStart w:id="22" w:name="standards-alignments"/>
      <w:r>
        <w:t xml:space="preserve">Standards Alignments</w:t>
      </w:r>
      <w:bookmarkEnd w:id="22"/>
    </w:p>
    <w:tbl>
      <w:tblPr>
        <w:tblStyle w:val="Table"/>
        <w:tblW w:type="pct" w:w="0.0"/>
        <w:tblLook w:firstRow="0"/>
      </w:tblPr>
      <w:tblGrid/>
      <w:tr>
        <w:tc>
          <w:p>
            <w:pPr>
              <w:pStyle w:val="Compact"/>
              <w:jc w:val="left"/>
            </w:pPr>
            <w:r>
              <w:t xml:space="preserve">Addressing</w:t>
            </w:r>
          </w:p>
        </w:tc>
        <w:tc>
          <w:p>
            <w:pPr>
              <w:pStyle w:val="Compact"/>
              <w:jc w:val="left"/>
            </w:pPr>
            <w:r>
              <w:t xml:space="preserve">K.CC.B, K.CC.B.5, K.OA.A.4</w:t>
            </w:r>
          </w:p>
        </w:tc>
      </w:tr>
    </w:tbl>
    <w:p>
      <w:pPr>
        <w:pStyle w:val="Heading3"/>
      </w:pPr>
      <w:bookmarkStart w:id="23" w:name="teacher-facing-learning-goals"/>
      <w:r>
        <w:t xml:space="preserve">Teacher-facing Learning Goals</w:t>
      </w:r>
      <w:bookmarkEnd w:id="23"/>
    </w:p>
    <w:p>
      <w:pPr>
        <w:numPr>
          <w:ilvl w:val="0"/>
          <w:numId w:val="1001"/>
        </w:numPr>
      </w:pPr>
      <w:r>
        <w:t xml:space="preserve">Recognize a 10-frame as being composed of two 5-frames.</w:t>
      </w:r>
    </w:p>
    <w:p>
      <w:pPr>
        <w:pStyle w:val="Heading3"/>
      </w:pPr>
      <w:bookmarkStart w:id="24" w:name="student-facing-learning-goals"/>
      <w:r>
        <w:t xml:space="preserve">Student-facing Learning Goals</w:t>
      </w:r>
      <w:bookmarkEnd w:id="24"/>
    </w:p>
    <w:p>
      <w:pPr>
        <w:numPr>
          <w:ilvl w:val="0"/>
          <w:numId w:val="1002"/>
        </w:numPr>
      </w:pPr>
      <w:r>
        <w:t xml:space="preserve">Hagamos tableros de 10 y usémoslos.</w:t>
      </w:r>
    </w:p>
    <w:p>
      <w:pPr>
        <w:pStyle w:val="Heading3"/>
      </w:pPr>
      <w:bookmarkStart w:id="25" w:name="lesson-purpose"/>
      <w:r>
        <w:t xml:space="preserve">Lesson Purpose</w:t>
      </w:r>
      <w:bookmarkEnd w:id="25"/>
    </w:p>
    <w:p>
      <w:pPr>
        <w:pStyle w:val="FirstParagraph"/>
      </w:pPr>
      <w:r>
        <w:t xml:space="preserve">The purpose of this lesson is for students to understand the 10-frame as 2 combined 5-frames and to relate the 10-frame to fingers on two hands.</w:t>
      </w:r>
    </w:p>
    <w:p>
      <w:pPr>
        <w:pStyle w:val="BodyText"/>
      </w:pPr>
      <w:r>
        <w:t xml:space="preserve">In previous lessons and units, students represented numbers 1–10 on 5-frames. The structure of the 5-frame encouraged students to see numbers 6–9 in relation to 5. In this lesson, students create a 10-frame and begin to see numbers 1–9 in relation to 10. This lesson also connects the 10-frame with fingers on 2 hands. With repeated experience, students may be able to recognize quantities on a 10-frame without counting, or by counting on from 5 (MP7, MP8).</w:t>
      </w:r>
    </w:p>
    <w:p>
      <w:pPr>
        <w:pStyle w:val="BodyText"/>
      </w:pPr>
      <w:r>
        <w:t xml:space="preserve">The 10-frame will be an important tool in upcoming lessons as students compose and decompose 10 in multiple ways and find the number that makes 10 when added to a given number.</w:t>
      </w:r>
    </w:p>
    <w:p>
      <w:pPr>
        <w:pStyle w:val="Heading3"/>
      </w:pPr>
      <w:bookmarkStart w:id="26" w:name="access-for"/>
      <w:r>
        <w:t xml:space="preserve">Access for:</w:t>
      </w:r>
      <w:bookmarkEnd w:id="26"/>
    </w:p>
    <w:p>
      <w:pPr>
        <w:pStyle w:val="Heading3"/>
      </w:pPr>
      <w:bookmarkStart w:id="27" w:name="students-with-disabilities"/>
      <w:r>
        <w:t xml:space="preserve">Students with Disabilities</w:t>
      </w:r>
      <w:bookmarkEnd w:id="27"/>
    </w:p>
    <w:p>
      <w:pPr>
        <w:numPr>
          <w:ilvl w:val="0"/>
          <w:numId w:val="1003"/>
        </w:numPr>
      </w:pPr>
      <w:r>
        <w:t xml:space="preserve">Representation (Activity 2)</w:t>
      </w:r>
    </w:p>
    <w:p>
      <w:pPr>
        <w:pStyle w:val="Heading3"/>
      </w:pPr>
      <w:bookmarkStart w:id="28" w:name="english-learners"/>
      <w:r>
        <w:t xml:space="preserve">English Learners</w:t>
      </w:r>
      <w:bookmarkEnd w:id="28"/>
    </w:p>
    <w:p>
      <w:pPr>
        <w:numPr>
          <w:ilvl w:val="0"/>
          <w:numId w:val="1004"/>
        </w:numPr>
      </w:pPr>
      <w:r>
        <w:t xml:space="preserve">MLR8 (Activity 2)</w:t>
      </w:r>
    </w:p>
    <w:p>
      <w:pPr>
        <w:pStyle w:val="Heading3"/>
      </w:pPr>
      <w:bookmarkStart w:id="29" w:name="instructional-routines"/>
      <w:r>
        <w:t xml:space="preserve">Instructional Routines</w:t>
      </w:r>
      <w:bookmarkEnd w:id="29"/>
    </w:p>
    <w:p>
      <w:pPr>
        <w:pStyle w:val="FirstParagraph"/>
      </w:pPr>
      <w:r>
        <w:t xml:space="preserve">Notice and Wonder (Warm-up)</w:t>
      </w:r>
    </w:p>
    <w:p>
      <w:pPr>
        <w:pStyle w:val="Heading3"/>
      </w:pPr>
      <w:bookmarkStart w:id="30" w:name="materials-to-gather"/>
      <w:r>
        <w:t xml:space="preserve">Materials to Gather</w:t>
      </w:r>
      <w:bookmarkEnd w:id="30"/>
    </w:p>
    <w:p>
      <w:pPr>
        <w:numPr>
          <w:ilvl w:val="0"/>
          <w:numId w:val="1005"/>
        </w:numPr>
      </w:pPr>
      <w:r>
        <w:t xml:space="preserve">Glue: Activity 1</w:t>
      </w:r>
    </w:p>
    <w:p>
      <w:pPr>
        <w:numPr>
          <w:ilvl w:val="0"/>
          <w:numId w:val="1005"/>
        </w:numPr>
      </w:pPr>
      <w:r>
        <w:t xml:space="preserve">Materials from previous centers: Activity 3</w:t>
      </w:r>
    </w:p>
    <w:p>
      <w:pPr>
        <w:numPr>
          <w:ilvl w:val="0"/>
          <w:numId w:val="1005"/>
        </w:numPr>
      </w:pPr>
      <w:r>
        <w:t xml:space="preserve">Scissors: Activity 1</w:t>
      </w:r>
    </w:p>
    <w:p>
      <w:pPr>
        <w:numPr>
          <w:ilvl w:val="0"/>
          <w:numId w:val="1005"/>
        </w:numPr>
      </w:pPr>
      <w:r>
        <w:t xml:space="preserve">Two-color counters: Activity 2</w:t>
      </w:r>
    </w:p>
    <w:p>
      <w:pPr>
        <w:pStyle w:val="Heading3"/>
      </w:pPr>
      <w:bookmarkStart w:id="31" w:name="materials-to-copy"/>
      <w:r>
        <w:t xml:space="preserve">Materials to Copy</w:t>
      </w:r>
      <w:bookmarkEnd w:id="31"/>
    </w:p>
    <w:p>
      <w:pPr>
        <w:numPr>
          <w:ilvl w:val="0"/>
          <w:numId w:val="1006"/>
        </w:numPr>
      </w:pPr>
      <w:r>
        <w:t xml:space="preserve">5-Frames to Cut Out (groups of 1): Activity 1</w:t>
      </w:r>
    </w:p>
    <w:p>
      <w:pPr>
        <w:numPr>
          <w:ilvl w:val="0"/>
          <w:numId w:val="1006"/>
        </w:numPr>
      </w:pPr>
      <w:r>
        <w:t xml:space="preserve">Numbers on Fingers and 10-frames (groups of 1): Activity 2</w:t>
      </w:r>
    </w:p>
    <w:p>
      <w:pPr>
        <w:pStyle w:val="Heading3"/>
      </w:pPr>
      <w:bookmarkStart w:id="32" w:name="lesson-timeline"/>
      <w:r>
        <w:t xml:space="preserve">Lesson Timeline</w:t>
      </w:r>
      <w:bookmarkEnd w:id="32"/>
    </w:p>
    <w:tbl>
      <w:tblPr>
        <w:tblStyle w:val="Table"/>
        <w:tblW w:type="pct" w:w="0.0"/>
        <w:tblLook w:firstRow="0"/>
      </w:tblPr>
      <w:tblGrid/>
      <w:tr>
        <w:tc>
          <w:p>
            <w:pPr>
              <w:pStyle w:val="Compact"/>
              <w:jc w:val="left"/>
            </w:pPr>
            <w:r>
              <w:t xml:space="preserve">Warm-up</w:t>
            </w:r>
          </w:p>
        </w:tc>
        <w:tc>
          <w:p>
            <w:pPr>
              <w:pStyle w:val="Compact"/>
              <w:jc w:val="left"/>
            </w:pPr>
            <w:r>
              <w:t xml:space="preserve">10 min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Activity 1</w:t>
            </w:r>
          </w:p>
        </w:tc>
        <w:tc>
          <w:p>
            <w:pPr>
              <w:pStyle w:val="Compact"/>
              <w:jc w:val="left"/>
            </w:pPr>
            <w:r>
              <w:t xml:space="preserve">15 min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Activity 2</w:t>
            </w:r>
          </w:p>
        </w:tc>
        <w:tc>
          <w:p>
            <w:pPr>
              <w:pStyle w:val="Compact"/>
              <w:jc w:val="left"/>
            </w:pPr>
            <w:r>
              <w:t xml:space="preserve">10 min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Activity 3</w:t>
            </w:r>
          </w:p>
        </w:tc>
        <w:tc>
          <w:p>
            <w:pPr>
              <w:pStyle w:val="Compact"/>
              <w:jc w:val="left"/>
            </w:pPr>
            <w:r>
              <w:t xml:space="preserve">20 min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Lesson Synthesis</w:t>
            </w:r>
          </w:p>
        </w:tc>
        <w:tc>
          <w:p>
            <w:pPr>
              <w:pStyle w:val="Compact"/>
              <w:jc w:val="left"/>
            </w:pPr>
            <w:r>
              <w:t xml:space="preserve">5 min</w:t>
            </w:r>
          </w:p>
        </w:tc>
      </w:tr>
    </w:tbl>
    <w:p>
      <w:pPr>
        <w:pStyle w:val="Heading3"/>
      </w:pPr>
      <w:bookmarkStart w:id="33" w:name="teacher-reflection-question"/>
      <w:r>
        <w:t xml:space="preserve">Teacher Reflection Question</w:t>
      </w:r>
      <w:bookmarkEnd w:id="33"/>
    </w:p>
    <w:p>
      <w:pPr>
        <w:pStyle w:val="FirstParagraph"/>
      </w:pPr>
      <w:r>
        <w:t xml:space="preserve">In the next several lessons, students will find different ways to compose and decompose 10. The structure to the 10-frame can help students organize and understand these compositions and decompositions. How does organizing the counters on the 10-frame from left to right, top to bottom support this work?</w:t>
      </w:r>
    </w:p>
    <w:p>
      <w:r>
        <w:pict>
          <v:rect style="width:0;height:1.5pt" o:hralign="center" o:hrstd="t" o:hr="t"/>
        </w:pict>
      </w:r>
    </w:p>
    <w:p>
      <w:pPr>
        <w:pStyle w:val="Heading2"/>
      </w:pPr>
      <w:bookmarkStart w:id="34" w:name="cool-down"/>
      <w:r>
        <w:t xml:space="preserve">Cool-down</w:t>
      </w:r>
      <w:bookmarkEnd w:id="34"/>
    </w:p>
    <w:p>
      <w:pPr>
        <w:pStyle w:val="FirstParagraph"/>
      </w:pPr>
      <w:r>
        <w:t xml:space="preserve">(to be completed at the end of the lesson)</w:t>
      </w:r>
    </w:p>
    <w:p>
      <w:pPr>
        <w:pStyle w:val="BodyText"/>
      </w:pPr>
      <w:r>
        <w:t xml:space="preserve">0</w:t>
      </w:r>
      <w:r>
        <w:t xml:space="preserve">min</w:t>
      </w:r>
    </w:p>
    <w:p>
      <w:pPr>
        <w:pStyle w:val="BodyText"/>
      </w:pPr>
      <w:r>
        <w:t xml:space="preserve">Unidad 5, punto de chequeo de la sección C</w:t>
      </w:r>
    </w:p>
    <w:p>
      <w:pPr>
        <w:pStyle w:val="Heading3"/>
      </w:pPr>
      <w:bookmarkStart w:id="35" w:name="standards-alignments-1"/>
      <w:r>
        <w:t xml:space="preserve">Standards Alignments</w:t>
      </w:r>
      <w:bookmarkEnd w:id="35"/>
    </w:p>
    <w:tbl>
      <w:tblPr>
        <w:tblStyle w:val="Table"/>
        <w:tblW w:type="pct" w:w="0.0"/>
        <w:tblLook w:firstRow="0"/>
      </w:tblPr>
      <w:tblGrid/>
      <w:tr>
        <w:tc>
          <w:p>
            <w:pPr>
              <w:pStyle w:val="Compact"/>
              <w:jc w:val="left"/>
            </w:pPr>
            <w:r>
              <w:t xml:space="preserve">Addressing</w:t>
            </w:r>
          </w:p>
        </w:tc>
        <w:tc>
          <w:p>
            <w:pPr>
              <w:pStyle w:val="Compact"/>
              <w:jc w:val="left"/>
            </w:pPr>
            <w:r>
              <w:t xml:space="preserve">K.OA.A.4</w:t>
            </w:r>
          </w:p>
        </w:tc>
      </w:tr>
    </w:tbl>
    <w:p>
      <w:pPr>
        <w:pStyle w:val="Heading3"/>
      </w:pPr>
      <w:bookmarkStart w:id="36" w:name="student-facing-task-statement"/>
      <w:r>
        <w:t xml:space="preserve">Student-facing Task Statement</w:t>
      </w:r>
      <w:bookmarkEnd w:id="36"/>
    </w:p>
    <w:p>
      <w:pPr>
        <w:pStyle w:val="FirstParagraph"/>
      </w:pPr>
      <w:r>
        <w:t xml:space="preserve">Lesson observations</w:t>
      </w:r>
    </w:p>
    <w:p>
      <w:pPr>
        <w:pStyle w:val="Heading3"/>
      </w:pPr>
      <w:bookmarkStart w:id="37" w:name="student-responses"/>
      <w:r>
        <w:t xml:space="preserve">Student Responses</w:t>
      </w:r>
      <w:bookmarkEnd w:id="37"/>
    </w:p>
    <w:p>
      <w:pPr>
        <w:numPr>
          <w:ilvl w:val="0"/>
          <w:numId w:val="1007"/>
        </w:numPr>
      </w:pPr>
      <w:r>
        <w:t xml:space="preserve">Recognize that a full 10-frame contains 10 counters and that 2 hands have 10 fingers.</w:t>
      </w:r>
    </w:p>
    <w:sectPr w:rsidR="00D121E2">
      <w:headerReference w:type="even" r:id="rId10"/>
      <w:headerReference w:type="default" r:id="rId11"/>
      <w:footerReference w:type="even" r:id="rId14"/>
      <w:footerReference w:type="default" r:id="rId12"/>
      <w:headerReference w:type="first" r:id="rId9"/>
      <w:footerReference w:type="first" r:id="rId13"/>
      <w:pgSz w:w="12240" w:h="15840"/>
      <w:pgMar w:top="1440" w:right="1440" w:bottom="1440" w:left="1440" w:header="720" w:footer="720" w:gutter="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1"/>
  </w:num>
  <w:num w:numId="1002">
    <w:abstractNumId w:val="991"/>
  </w:num>
  <w:num w:numId="1003">
    <w:abstractNumId w:val="991"/>
  </w:num>
  <w:num w:numId="1004">
    <w:abstractNumId w:val="991"/>
  </w:num>
  <w:num w:numId="1005">
    <w:abstractNumId w:val="991"/>
  </w:num>
  <w:num w:numId="1006">
    <w:abstractNumId w:val="991"/>
  </w:num>
  <w:num w:numId="1007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proofState w:spelling="clean" w:grammar="clean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82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qFormat/>
    <w:pPr>
      <w:spacing w:before="180" w:after="180"/>
    </w:pPr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spacing w:before="240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qFormat/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uiPriority w:val="9"/>
    <w:unhideWhenUsed/>
    <w:qFormat/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CaptionChar"/>
    <w:pPr>
      <w:spacing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FigurewithCaption">
    <w:name w:val="Figure with Caption"/>
    <w:basedOn w:val="Figure"/>
    <w:pPr>
      <w:keepNext/>
    </w:pPr>
  </w:style>
  <w:style w:type="character" w:customStyle="1" w:styleId="CaptionChar">
    <w:name w:val="Caption Char"/>
    <w:basedOn w:val="DefaultParagraphFont"/>
    <w:link w:val="Caption"/>
  </w:style>
  <w:style w:type="character" w:customStyle="1" w:styleId="VerbatimChar">
    <w:name w:val="Verbatim Char"/>
    <w:basedOn w:val="CaptionChar"/>
    <w:link w:val="SourceCode"/>
    <w:rPr>
      <w:rFonts w:ascii="Consolas" w:hAnsi="Consolas"/>
      <w:sz w:val="22"/>
    </w:rPr>
  </w:style>
  <w:style w:type="character" w:styleId="FootnoteReference">
    <w:name w:val="footnote reference"/>
    <w:basedOn w:val="CaptionChar"/>
    <w:rPr>
      <w:vertAlign w:val="superscript"/>
    </w:rPr>
  </w:style>
  <w:style w:type="character" w:styleId="Hyperlink">
    <w:name w:val="Hyperlink"/>
    <w:basedOn w:val="Caption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0"/>
    </w:pPr>
  </w:style>
  <w:style w:type="character" w:customStyle="1" w:styleId="KeywordTok">
    <w:name w:val="KeywordTok"/>
    <w:basedOn w:val="VerbatimChar"/>
    <w:rPr>
      <w:rFonts w:ascii="Consolas" w:hAnsi="Consolas"/>
      <w:b/>
      <w:color w:val="007020"/>
      <w:sz w:val="22"/>
    </w:rPr>
  </w:style>
  <w:style w:type="character" w:customStyle="1" w:styleId="DataTypeTok">
    <w:name w:val="DataTypeTok"/>
    <w:basedOn w:val="VerbatimChar"/>
    <w:rPr>
      <w:rFonts w:ascii="Consolas" w:hAnsi="Consolas"/>
      <w:color w:val="902000"/>
      <w:sz w:val="22"/>
    </w:rPr>
  </w:style>
  <w:style w:type="character" w:customStyle="1" w:styleId="DecValTok">
    <w:name w:val="DecValTok"/>
    <w:basedOn w:val="VerbatimChar"/>
    <w:rPr>
      <w:rFonts w:ascii="Consolas" w:hAnsi="Consolas"/>
      <w:color w:val="40A070"/>
      <w:sz w:val="22"/>
    </w:rPr>
  </w:style>
  <w:style w:type="character" w:customStyle="1" w:styleId="BaseNTok">
    <w:name w:val="BaseNTok"/>
    <w:basedOn w:val="VerbatimChar"/>
    <w:rPr>
      <w:rFonts w:ascii="Consolas" w:hAnsi="Consolas"/>
      <w:color w:val="40A070"/>
      <w:sz w:val="22"/>
    </w:rPr>
  </w:style>
  <w:style w:type="character" w:customStyle="1" w:styleId="FloatTok">
    <w:name w:val="FloatTok"/>
    <w:basedOn w:val="VerbatimChar"/>
    <w:rPr>
      <w:rFonts w:ascii="Consolas" w:hAnsi="Consolas"/>
      <w:color w:val="40A070"/>
      <w:sz w:val="22"/>
    </w:rPr>
  </w:style>
  <w:style w:type="character" w:customStyle="1" w:styleId="ConstantTok">
    <w:name w:val="ConstantTok"/>
    <w:basedOn w:val="VerbatimChar"/>
    <w:rPr>
      <w:rFonts w:ascii="Consolas" w:hAnsi="Consolas"/>
      <w:color w:val="880000"/>
      <w:sz w:val="22"/>
    </w:rPr>
  </w:style>
  <w:style w:type="character" w:customStyle="1" w:styleId="CharTok">
    <w:name w:val="CharTok"/>
    <w:basedOn w:val="VerbatimChar"/>
    <w:rPr>
      <w:rFonts w:ascii="Consolas" w:hAnsi="Consolas"/>
      <w:color w:val="4070A0"/>
      <w:sz w:val="22"/>
    </w:rPr>
  </w:style>
  <w:style w:type="character" w:customStyle="1" w:styleId="SpecialCharTok">
    <w:name w:val="SpecialCharTok"/>
    <w:basedOn w:val="VerbatimChar"/>
    <w:rPr>
      <w:rFonts w:ascii="Consolas" w:hAnsi="Consolas"/>
      <w:color w:val="4070A0"/>
      <w:sz w:val="22"/>
    </w:rPr>
  </w:style>
  <w:style w:type="character" w:customStyle="1" w:styleId="StringTok">
    <w:name w:val="StringTok"/>
    <w:basedOn w:val="VerbatimChar"/>
    <w:rPr>
      <w:rFonts w:ascii="Consolas" w:hAnsi="Consolas"/>
      <w:color w:val="4070A0"/>
      <w:sz w:val="22"/>
    </w:rPr>
  </w:style>
  <w:style w:type="character" w:customStyle="1" w:styleId="VerbatimStringTok">
    <w:name w:val="VerbatimStringTok"/>
    <w:basedOn w:val="VerbatimChar"/>
    <w:rPr>
      <w:rFonts w:ascii="Consolas" w:hAnsi="Consolas"/>
      <w:color w:val="4070A0"/>
      <w:sz w:val="22"/>
    </w:rPr>
  </w:style>
  <w:style w:type="character" w:customStyle="1" w:styleId="SpecialStringTok">
    <w:name w:val="SpecialStringTok"/>
    <w:basedOn w:val="VerbatimChar"/>
    <w:rPr>
      <w:rFonts w:ascii="Consolas" w:hAnsi="Consolas"/>
      <w:color w:val="BB6688"/>
      <w:sz w:val="22"/>
    </w:rPr>
  </w:style>
  <w:style w:type="character" w:customStyle="1" w:styleId="ImportTok">
    <w:name w:val="ImportTok"/>
    <w:basedOn w:val="VerbatimChar"/>
    <w:rPr>
      <w:rFonts w:ascii="Consolas" w:hAnsi="Consolas"/>
      <w:sz w:val="22"/>
    </w:rPr>
  </w:style>
  <w:style w:type="character" w:customStyle="1" w:styleId="CommentTok">
    <w:name w:val="CommentTok"/>
    <w:basedOn w:val="VerbatimChar"/>
    <w:rPr>
      <w:rFonts w:ascii="Consolas" w:hAnsi="Consolas"/>
      <w:i/>
      <w:color w:val="60A0B0"/>
      <w:sz w:val="22"/>
    </w:rPr>
  </w:style>
  <w:style w:type="character" w:customStyle="1" w:styleId="DocumentationTok">
    <w:name w:val="DocumentationTok"/>
    <w:basedOn w:val="VerbatimChar"/>
    <w:rPr>
      <w:rFonts w:ascii="Consolas" w:hAnsi="Consolas"/>
      <w:i/>
      <w:color w:val="BA2121"/>
      <w:sz w:val="22"/>
    </w:rPr>
  </w:style>
  <w:style w:type="character" w:customStyle="1" w:styleId="AnnotationTok">
    <w:name w:val="Annot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CommentVarTok">
    <w:name w:val="CommentVar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OtherTok">
    <w:name w:val="OtherTok"/>
    <w:basedOn w:val="VerbatimChar"/>
    <w:rPr>
      <w:rFonts w:ascii="Consolas" w:hAnsi="Consolas"/>
      <w:color w:val="007020"/>
      <w:sz w:val="22"/>
    </w:rPr>
  </w:style>
  <w:style w:type="character" w:customStyle="1" w:styleId="FunctionTok">
    <w:name w:val="FunctionTok"/>
    <w:basedOn w:val="VerbatimChar"/>
    <w:rPr>
      <w:rFonts w:ascii="Consolas" w:hAnsi="Consolas"/>
      <w:color w:val="06287E"/>
      <w:sz w:val="22"/>
    </w:rPr>
  </w:style>
  <w:style w:type="character" w:customStyle="1" w:styleId="VariableTok">
    <w:name w:val="VariableTok"/>
    <w:basedOn w:val="VerbatimChar"/>
    <w:rPr>
      <w:rFonts w:ascii="Consolas" w:hAnsi="Consolas"/>
      <w:color w:val="19177C"/>
      <w:sz w:val="22"/>
    </w:rPr>
  </w:style>
  <w:style w:type="character" w:customStyle="1" w:styleId="ControlFlowTok">
    <w:name w:val="ControlFlowTok"/>
    <w:basedOn w:val="VerbatimChar"/>
    <w:rPr>
      <w:rFonts w:ascii="Consolas" w:hAnsi="Consolas"/>
      <w:b/>
      <w:color w:val="007020"/>
      <w:sz w:val="22"/>
    </w:rPr>
  </w:style>
  <w:style w:type="character" w:customStyle="1" w:styleId="OperatorTok">
    <w:name w:val="OperatorTok"/>
    <w:basedOn w:val="VerbatimChar"/>
    <w:rPr>
      <w:rFonts w:ascii="Consolas" w:hAnsi="Consolas"/>
      <w:color w:val="666666"/>
      <w:sz w:val="22"/>
    </w:rPr>
  </w:style>
  <w:style w:type="character" w:customStyle="1" w:styleId="BuiltInTok">
    <w:name w:val="BuiltInTok"/>
    <w:basedOn w:val="VerbatimChar"/>
    <w:rPr>
      <w:rFonts w:ascii="Consolas" w:hAnsi="Consolas"/>
      <w:sz w:val="22"/>
    </w:rPr>
  </w:style>
  <w:style w:type="character" w:customStyle="1" w:styleId="ExtensionTok">
    <w:name w:val="ExtensionTok"/>
    <w:basedOn w:val="VerbatimChar"/>
    <w:rPr>
      <w:rFonts w:ascii="Consolas" w:hAnsi="Consolas"/>
      <w:sz w:val="22"/>
    </w:rPr>
  </w:style>
  <w:style w:type="character" w:customStyle="1" w:styleId="PreprocessorTok">
    <w:name w:val="PreprocessorTok"/>
    <w:basedOn w:val="VerbatimChar"/>
    <w:rPr>
      <w:rFonts w:ascii="Consolas" w:hAnsi="Consolas"/>
      <w:color w:val="BC7A00"/>
      <w:sz w:val="22"/>
    </w:rPr>
  </w:style>
  <w:style w:type="character" w:customStyle="1" w:styleId="AttributeTok">
    <w:name w:val="AttributeTok"/>
    <w:basedOn w:val="VerbatimChar"/>
    <w:rPr>
      <w:rFonts w:ascii="Consolas" w:hAnsi="Consolas"/>
      <w:color w:val="7D9029"/>
      <w:sz w:val="22"/>
    </w:rPr>
  </w:style>
  <w:style w:type="character" w:customStyle="1" w:styleId="RegionMarkerTok">
    <w:name w:val="RegionMarkerTok"/>
    <w:basedOn w:val="VerbatimChar"/>
    <w:rPr>
      <w:rFonts w:ascii="Consolas" w:hAnsi="Consolas"/>
      <w:sz w:val="22"/>
    </w:rPr>
  </w:style>
  <w:style w:type="character" w:customStyle="1" w:styleId="InformationTok">
    <w:name w:val="Inform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WarningTok">
    <w:name w:val="Warning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AlertTok">
    <w:name w:val="AlertTok"/>
    <w:basedOn w:val="VerbatimChar"/>
    <w:rPr>
      <w:rFonts w:ascii="Consolas" w:hAnsi="Consolas"/>
      <w:b/>
      <w:color w:val="FF0000"/>
      <w:sz w:val="22"/>
    </w:rPr>
  </w:style>
  <w:style w:type="character" w:customStyle="1" w:styleId="ErrorTok">
    <w:name w:val="ErrorTok"/>
    <w:basedOn w:val="VerbatimChar"/>
    <w:rPr>
      <w:rFonts w:ascii="Consolas" w:hAnsi="Consolas"/>
      <w:b/>
      <w:color w:val="FF0000"/>
      <w:sz w:val="22"/>
    </w:rPr>
  </w:style>
  <w:style w:type="character" w:customStyle="1" w:styleId="NormalTok">
    <w:name w:val="NormalTok"/>
    <w:basedOn w:val="VerbatimChar"/>
    <w:rPr>
      <w:rFonts w:ascii="Consolas" w:hAnsi="Consolas"/>
      <w:sz w:val="22"/>
    </w:rPr>
  </w:style>
  <w:style w:type="paragraph" w:styleId="Header">
    <w:name w:val="header"/>
    <w:basedOn w:val="Normal"/>
    <w:link w:val="Head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rsid w:val="009E40FE"/>
  </w:style>
  <w:style w:type="paragraph" w:styleId="Footer">
    <w:name w:val="footer"/>
    <w:basedOn w:val="Normal"/>
    <w:link w:val="Foot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rsid w:val="009E40FE"/>
  </w:style>
  <w:style w:type="character" w:styleId="PageNumber">
    <w:name w:val="page number"/>
    <w:basedOn w:val="DefaultParagraphFont"/>
    <w:semiHidden/>
    <w:unhideWhenUsed/>
    <w:rsid w:val="004334B2"/>
  </w:style>
  <w:style w:type="character" w:styleId="FollowedHyperlink">
    <w:name w:val="FollowedHyperlink"/>
    <w:basedOn w:val="DefaultParagraphFont"/>
    <w:semiHidden/>
    <w:unhideWhenUsed/>
    <w:rsid w:val="0007094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3.xml" /><Relationship Id="rId10" Type="http://schemas.openxmlformats.org/officeDocument/2006/relationships/header" Target="header1.xml" /><Relationship Id="rId11" Type="http://schemas.openxmlformats.org/officeDocument/2006/relationships/header" Target="header2.xml" /><Relationship Id="rId12" Type="http://schemas.openxmlformats.org/officeDocument/2006/relationships/footer" Target="footer2.xml" /><Relationship Id="rId13" Type="http://schemas.openxmlformats.org/officeDocument/2006/relationships/footer" Target="footer3.xml" /><Relationship Id="rId14" Type="http://schemas.openxmlformats.org/officeDocument/2006/relationships/footer" Target="footer1.xml" /><Relationship Type="http://schemas.openxmlformats.org/officeDocument/2006/relationships/image" Id="rId20" Target="media/rId20.svg" /></Relationships>
</file>

<file path=word/_rels/footnotes.xml.rels><?xml version="1.0" encoding="UTF-8"?>
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2022-01-22T23:24:17Z</dcterms:created>
  <dcterms:modified xsi:type="dcterms:W3CDTF">2022-01-22T23:24:17Z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djVLGv74h1sIM64uXWurK03wTBwtvZJIzmsCkOjDsMDR0UYBLbl6EwY7u3Sf8lGx/gxH//l/AbNU/ZzSYS0qzQ==</vt:lpwstr>
  </property>
</Properties>
</file>