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1"/>
      </w:pPr>
      <w:bookmarkStart w:id="21" w:name="X7bb77a160b4b4b9b6999e5c9f86fef0ea87a570"/>
      <w:r>
        <w:t xml:space="preserve">Lesson 15: Grupos iguales, números más grandes</w:t>
      </w:r>
      <w:bookmarkEnd w:id="21"/>
    </w:p>
    <w:p>
      <w:pPr>
        <w:pStyle w:val="Heading3"/>
      </w:pPr>
      <w:bookmarkStart w:id="22" w:name="standards-alignments"/>
      <w:r>
        <w:t xml:space="preserve">Standards Alignments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3.MD.C.7.c, 3.OA.A.3, 3.OA.B.5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Building Towards</w:t>
            </w:r>
          </w:p>
        </w:tc>
        <w:tc>
          <w:p>
            <w:pPr>
              <w:pStyle w:val="Compact"/>
              <w:jc w:val="left"/>
            </w:pPr>
            <w:r>
              <w:t xml:space="preserve">3.OA.C.7</w:t>
            </w:r>
          </w:p>
        </w:tc>
      </w:tr>
    </w:tbl>
    <w:p>
      <w:pPr>
        <w:pStyle w:val="Heading3"/>
      </w:pPr>
      <w:bookmarkStart w:id="23" w:name="teacher-facing-learning-goals"/>
      <w:r>
        <w:t xml:space="preserve">Teacher-facing Learning Goals</w:t>
      </w:r>
      <w:bookmarkEnd w:id="23"/>
    </w:p>
    <w:p>
      <w:pPr>
        <w:numPr>
          <w:ilvl w:val="0"/>
          <w:numId w:val="1001"/>
        </w:numPr>
      </w:pPr>
      <w:r>
        <w:t xml:space="preserve">Multiply within 100, where one factor is a teen number.</w:t>
      </w:r>
    </w:p>
    <w:p>
      <w:pPr>
        <w:pStyle w:val="Heading3"/>
      </w:pPr>
      <w:bookmarkStart w:id="24" w:name="student-facing-learning-goals"/>
      <w:r>
        <w:t xml:space="preserve">Student-facing Learning Goals</w:t>
      </w:r>
      <w:bookmarkEnd w:id="24"/>
    </w:p>
    <w:p>
      <w:pPr>
        <w:numPr>
          <w:ilvl w:val="0"/>
          <w:numId w:val="1002"/>
        </w:numPr>
      </w:pPr>
      <w:r>
        <w:t xml:space="preserve">Resolvamos algunos problemas de grupos iguales que tienen números más grandes.</w:t>
      </w:r>
    </w:p>
    <w:p>
      <w:pPr>
        <w:pStyle w:val="Heading3"/>
      </w:pPr>
      <w:bookmarkStart w:id="25" w:name="lesson-purpose"/>
      <w:r>
        <w:t xml:space="preserve">Lesson Purpose</w:t>
      </w:r>
      <w:bookmarkEnd w:id="25"/>
    </w:p>
    <w:p>
      <w:pPr>
        <w:pStyle w:val="FirstParagraph"/>
      </w:pPr>
      <w:r>
        <w:t xml:space="preserve">The purpose of this lesson is for students to multiply within 100, where one factor is a teen number.   </w:t>
      </w:r>
    </w:p>
    <w:p>
      <w:pPr>
        <w:pStyle w:val="BodyText"/>
      </w:pPr>
      <w:r>
        <w:t xml:space="preserve">The work of this lesson connects to previous work because students have seen a variety of ways to represent and solve problems in which one of the factors is a teen number. In this lesson students use their choice of strategy and representation to solve these types of problems. Students participate in a gallery walk to highlight different ways that they solved problems with a synthesis that highlights the area diagram to represent one of the problems. Students’ attention is drawn to scaling of area diagrams during the warm-up. While it’s not important that student representations are exact, it is important that any area diagrams presented to students are to scale.</w:t>
      </w:r>
    </w:p>
    <w:p>
      <w:pPr>
        <w:pStyle w:val="Heading3"/>
      </w:pPr>
      <w:bookmarkStart w:id="26" w:name="access-for"/>
      <w:r>
        <w:t xml:space="preserve">Access for:</w:t>
      </w:r>
      <w:bookmarkEnd w:id="26"/>
    </w:p>
    <w:p>
      <w:pPr>
        <w:pStyle w:val="Heading3"/>
      </w:pPr>
      <w:bookmarkStart w:id="27" w:name="students-with-disabilities"/>
      <w:r>
        <w:t xml:space="preserve">Students with Disabilities</w:t>
      </w:r>
      <w:bookmarkEnd w:id="27"/>
    </w:p>
    <w:p>
      <w:pPr>
        <w:numPr>
          <w:ilvl w:val="0"/>
          <w:numId w:val="1003"/>
        </w:numPr>
      </w:pPr>
      <w:r>
        <w:t xml:space="preserve">Engagement (Activity 1)</w:t>
      </w:r>
    </w:p>
    <w:p>
      <w:pPr>
        <w:pStyle w:val="Heading3"/>
      </w:pPr>
      <w:bookmarkStart w:id="28" w:name="english-learners"/>
      <w:r>
        <w:t xml:space="preserve">English Learners</w:t>
      </w:r>
      <w:bookmarkEnd w:id="28"/>
    </w:p>
    <w:p>
      <w:pPr>
        <w:numPr>
          <w:ilvl w:val="0"/>
          <w:numId w:val="1004"/>
        </w:numPr>
      </w:pPr>
      <w:r>
        <w:t xml:space="preserve">MLR8 (Activity 2)</w:t>
      </w:r>
    </w:p>
    <w:p>
      <w:pPr>
        <w:pStyle w:val="Heading3"/>
      </w:pPr>
      <w:bookmarkStart w:id="29" w:name="instructional-routines"/>
      <w:r>
        <w:t xml:space="preserve">Instructional Routines</w:t>
      </w:r>
      <w:bookmarkEnd w:id="29"/>
    </w:p>
    <w:p>
      <w:pPr>
        <w:pStyle w:val="FirstParagraph"/>
      </w:pPr>
      <w:r>
        <w:t xml:space="preserve">Which One Doesn’t Belong? (Warm-up)</w:t>
      </w:r>
    </w:p>
    <w:p>
      <w:pPr>
        <w:pStyle w:val="Heading3"/>
      </w:pPr>
      <w:bookmarkStart w:id="30" w:name="materials-to-gather"/>
      <w:r>
        <w:t xml:space="preserve">Materials to Gather</w:t>
      </w:r>
      <w:bookmarkEnd w:id="30"/>
    </w:p>
    <w:p>
      <w:pPr>
        <w:numPr>
          <w:ilvl w:val="0"/>
          <w:numId w:val="1005"/>
        </w:numPr>
      </w:pPr>
      <w:r>
        <w:t xml:space="preserve">Base-ten blocks: Activity 1</w:t>
      </w:r>
    </w:p>
    <w:p>
      <w:pPr>
        <w:numPr>
          <w:ilvl w:val="0"/>
          <w:numId w:val="1005"/>
        </w:numPr>
      </w:pPr>
      <w:r>
        <w:t xml:space="preserve">Sticky notes: Activity 2</w:t>
      </w:r>
    </w:p>
    <w:p>
      <w:pPr>
        <w:numPr>
          <w:ilvl w:val="0"/>
          <w:numId w:val="1005"/>
        </w:numPr>
      </w:pPr>
      <w:r>
        <w:t xml:space="preserve">Tools for creating a visual display: Activity 1</w:t>
      </w:r>
    </w:p>
    <w:p>
      <w:pPr>
        <w:pStyle w:val="Heading3"/>
      </w:pPr>
      <w:bookmarkStart w:id="31" w:name="materials-to-copy"/>
      <w:r>
        <w:t xml:space="preserve">Materials to Copy</w:t>
      </w:r>
      <w:bookmarkEnd w:id="31"/>
    </w:p>
    <w:p>
      <w:pPr>
        <w:numPr>
          <w:ilvl w:val="0"/>
          <w:numId w:val="1006"/>
        </w:numPr>
      </w:pPr>
      <w:r>
        <w:t xml:space="preserve">Centimeter Grid Paper - Standard (groups of 2): Activity 1</w:t>
      </w:r>
    </w:p>
    <w:p>
      <w:pPr>
        <w:pStyle w:val="Heading3"/>
      </w:pPr>
      <w:bookmarkStart w:id="32" w:name="lesson-timeline"/>
      <w:r>
        <w:t xml:space="preserve">Lesson Timeline</w:t>
      </w:r>
      <w:bookmarkEnd w:id="3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p>
      <w:pPr>
        <w:pStyle w:val="Heading3"/>
      </w:pPr>
      <w:bookmarkStart w:id="33" w:name="teacher-reflection-question"/>
      <w:r>
        <w:t xml:space="preserve">Teacher Reflection Question</w:t>
      </w:r>
      <w:bookmarkEnd w:id="33"/>
    </w:p>
    <w:p>
      <w:pPr>
        <w:pStyle w:val="FirstParagraph"/>
      </w:pPr>
      <w:r>
        <w:t xml:space="preserve">What question do you wish you had asked today? When and why should you have asked it?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4" w:name="cool-down"/>
      <w:r>
        <w:t xml:space="preserve">Cool-down</w:t>
      </w:r>
      <w:bookmarkEnd w:id="34"/>
    </w:p>
    <w:p>
      <w:pPr>
        <w:pStyle w:val="FirstParagraph"/>
      </w:pPr>
      <w:r>
        <w:t xml:space="preserve">(to be completed at the end of the lesson)</w:t>
      </w:r>
    </w:p>
    <w:p>
      <w:pPr>
        <w:pStyle w:val="BodyText"/>
      </w:pPr>
      <w:r>
        <w:t xml:space="preserve">5</w:t>
      </w:r>
      <w:r>
        <w:t xml:space="preserve">min</w:t>
      </w:r>
    </w:p>
    <w:p>
      <w:pPr>
        <w:pStyle w:val="BodyText"/>
      </w:pPr>
      <w:r>
        <w:t xml:space="preserve">Encuentra el área</w:t>
      </w:r>
    </w:p>
    <w:p>
      <w:pPr>
        <w:pStyle w:val="Heading3"/>
      </w:pPr>
      <w:bookmarkStart w:id="35" w:name="standards-alignments-1"/>
      <w:r>
        <w:t xml:space="preserve">Standards Alignments</w:t>
      </w:r>
      <w:bookmarkEnd w:id="3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p>
            <w:pPr>
              <w:pStyle w:val="Compact"/>
              <w:jc w:val="left"/>
            </w:pPr>
            <w:r>
              <w:t xml:space="preserve">3.OA.A.3</w:t>
            </w:r>
          </w:p>
        </w:tc>
      </w:tr>
    </w:tbl>
    <w:p>
      <w:pPr>
        <w:pStyle w:val="Heading3"/>
      </w:pPr>
      <w:bookmarkStart w:id="36" w:name="student-facing-task-statement"/>
      <w:r>
        <w:t xml:space="preserve">Student-facing Task Statement</w:t>
      </w:r>
      <w:bookmarkEnd w:id="36"/>
    </w:p>
    <w:p>
      <w:pPr>
        <w:pStyle w:val="FirstParagraph"/>
      </w:pPr>
      <w:r>
        <w:t xml:space="preserve">Un rectángulo mide 6 pies por 15 pies. ¿Cuál es el área del rectángulo? Explica o muestra tu razonamiento.</w:t>
      </w:r>
    </w:p>
    <w:p>
      <w:pPr>
        <w:pStyle w:val="Heading3"/>
      </w:pPr>
      <w:bookmarkStart w:id="37" w:name="student-responses"/>
      <w:r>
        <w:t xml:space="preserve">Student Responses</w:t>
      </w:r>
      <w:bookmarkEnd w:id="37"/>
    </w:p>
    <w:p>
      <w:pPr>
        <w:pStyle w:val="FirstParagraph"/>
      </w:pPr>
      <w:r>
        <w:t xml:space="preserve">90 square feet. Sample response:</w:t>
      </w:r>
      <w:r>
        <w:t xml:space="preserve"> </w:t>
      </w:r>
      <m:oMath>
        <m:r>
          <m:t>6</m:t>
        </m:r>
        <m:r>
          <m:t>×</m:t>
        </m:r>
        <m:r>
          <m:t>10</m:t>
        </m:r>
        <m:r>
          <m:t>=</m:t>
        </m:r>
        <m:r>
          <m:t>60</m:t>
        </m:r>
      </m:oMath>
      <w:r>
        <w:t xml:space="preserve">,</w:t>
      </w:r>
      <w:r>
        <w:t xml:space="preserve"> </w:t>
      </w:r>
      <m:oMath>
        <m:r>
          <m:t>6</m:t>
        </m:r>
        <m:r>
          <m:t>×</m:t>
        </m:r>
        <m:r>
          <m:t>5</m:t>
        </m:r>
        <m:r>
          <m:t>=</m:t>
        </m:r>
        <m:r>
          <m:t>30</m:t>
        </m:r>
      </m:oMath>
      <w:r>
        <w:t xml:space="preserve">,</w:t>
      </w:r>
      <w:r>
        <w:t xml:space="preserve"> </w:t>
      </w:r>
      <m:oMath>
        <m:r>
          <m:t>60</m:t>
        </m:r>
        <m:r>
          <m:t>+</m:t>
        </m:r>
        <m:r>
          <m:t>30</m:t>
        </m:r>
        <m:r>
          <m:t>=</m:t>
        </m:r>
        <m:r>
          <m:t>90</m:t>
        </m:r>
      </m:oMath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0" Target="media/rId20.sv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2022-01-27T06:30:45Z</dcterms:created>
  <dcterms:modified xsi:type="dcterms:W3CDTF">2022-01-27T06:30:45Z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5K/XsVXx03V8q09Mdd64L5U1EdQnh61q8dpRyydoor1DEGQ5XLWkYYASdgz6NDExuu/apDLJvt0Kj+HbWGZdGg==</vt:lpwstr>
  </property>
</Properties>
</file>