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36.png" ContentType="image/png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566962c1518cf1416d569ad89d48ee0315e944d"/>
      <w:r>
        <w:t xml:space="preserve">Lesson 4: Interpretemos expresiones de división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3.NBT.A.2, 3.OA.A.2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Interpret division expressions.</w:t>
      </w:r>
    </w:p>
    <w:p>
      <w:pPr>
        <w:numPr>
          <w:ilvl w:val="0"/>
          <w:numId w:val="1001"/>
        </w:numPr>
      </w:pPr>
      <w:r>
        <w:t xml:space="preserve">Understand that the same division expression can be used to represent both types of division situations.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Démosle sentido a expresiones de división.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interpret division expressions and understand that the same division expression can be used to represent both types of division situations.</w:t>
      </w:r>
    </w:p>
    <w:p>
      <w:pPr>
        <w:pStyle w:val="BodyText"/>
      </w:pPr>
      <w:r>
        <w:t xml:space="preserve">Students first match a division expression to a situation that it could represent. Then, students learn that the same division expression can match both “how many groups?” and “how many in each group?” problems depending on how the</w:t>
      </w:r>
      <w:r>
        <w:t xml:space="preserve"> </w:t>
      </w:r>
      <w:r>
        <w:rPr>
          <w:b/>
        </w:rPr>
        <w:t xml:space="preserve">divisor</w:t>
      </w:r>
      <w:r>
        <w:t xml:space="preserve">, the number we are dividing by, is interpreted. Students then have a chance to match drawings and expressions to situations before they write their own division expressions in a subsequent lesson.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MLR2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Number Talk (Warm-up)</w:t>
      </w:r>
    </w:p>
    <w:p>
      <w:pPr>
        <w:pStyle w:val="Heading3"/>
      </w:pPr>
      <w:bookmarkStart w:id="30" w:name="lesson-timeline"/>
      <w:r>
        <w:t xml:space="preserve">Lesson Timeline</w:t>
      </w:r>
      <w:bookmarkEnd w:id="30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1" w:name="teacher-reflection-question"/>
      <w:r>
        <w:t xml:space="preserve">Teacher Reflection Question</w:t>
      </w:r>
      <w:bookmarkEnd w:id="31"/>
    </w:p>
    <w:p>
      <w:pPr>
        <w:pStyle w:val="FirstParagraph"/>
      </w:pPr>
      <w:r>
        <w:t xml:space="preserve">What aspects of today’s lesson allowed each of your students to see themselves as productive mathematical reasoners?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2" w:name="cool-down"/>
      <w:r>
        <w:t xml:space="preserve">Cool-down</w:t>
      </w:r>
      <w:bookmarkEnd w:id="32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Los trompos de Han</w:t>
      </w:r>
    </w:p>
    <w:p>
      <w:pPr>
        <w:pStyle w:val="Heading3"/>
      </w:pPr>
      <w:bookmarkStart w:id="33" w:name="standards-alignments-1"/>
      <w:r>
        <w:t xml:space="preserve">Standards Alignments</w:t>
      </w:r>
      <w:bookmarkEnd w:id="3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3.OA.A.2</w:t>
            </w:r>
          </w:p>
        </w:tc>
      </w:tr>
    </w:tbl>
    <w:p>
      <w:pPr>
        <w:pStyle w:val="Heading3"/>
      </w:pPr>
      <w:bookmarkStart w:id="34" w:name="student-facing-task-statement"/>
      <w:r>
        <w:t xml:space="preserve">Student-facing Task Statement</w:t>
      </w:r>
      <w:bookmarkEnd w:id="34"/>
    </w:p>
    <w:p>
      <w:pPr>
        <w:pStyle w:val="FirstParagraph"/>
      </w:pPr>
      <w:r>
        <w:t xml:space="preserve">Han tiene 14 trompos. Él reparte los trompos equitativamente en 2 cajas. ¿Cuántos trompos habrá en cada caja?</w:t>
      </w:r>
    </w:p>
    <w:p>
      <w:pPr>
        <w:pStyle w:val="BodyText"/>
      </w:pPr>
      <w:r>
        <w:t xml:space="preserve">Selecciona </w:t>
      </w:r>
      <w:r>
        <w:rPr>
          <w:b/>
        </w:rPr>
        <w:t xml:space="preserve">todas</w:t>
      </w:r>
      <w:r>
        <w:t xml:space="preserve"> </w:t>
      </w:r>
      <w:r>
        <w:t xml:space="preserve">las formas en las que podemos representar la situación.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2971800" cy="731508"/>
            <wp:effectExtent b="0" l="0" r="0" t="0"/>
            <wp:docPr descr="2 groups of 7 dots." title="" id="1" name="Picture"/>
            <a:graphic>
              <a:graphicData uri="http://schemas.openxmlformats.org/drawingml/2006/picture">
                <pic:pic>
                  <pic:nvPicPr>
                    <pic:cNvPr descr="/app/tmp/embedder-1643265027.1053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</w:p>
    <w:p>
      <w:pPr>
        <w:pStyle w:val="BodyText"/>
      </w:pPr>
      <w:r>
        <w:drawing>
          <wp:inline>
            <wp:extent cx="2971800" cy="868677"/>
            <wp:effectExtent b="0" l="0" r="0" t="0"/>
            <wp:docPr descr="Groups of dots." title="" id="1" name="Picture"/>
            <a:graphic>
              <a:graphicData uri="http://schemas.openxmlformats.org/drawingml/2006/picture">
                <pic:pic>
                  <pic:nvPicPr>
                    <pic:cNvPr descr="/app/tmp/embedder-1643265028.9527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</w:p>
    <w:p>
      <w:pPr>
        <w:pStyle w:val="BodyText"/>
      </w:pPr>
      <m:oMath>
        <m:r>
          <m:t>14</m:t>
        </m:r>
        <m:r>
          <m:t>÷</m:t>
        </m:r>
        <m:r>
          <m:t>2</m:t>
        </m:r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r>
          <m:t>14</m:t>
        </m:r>
        <m:r>
          <m:t>÷</m:t>
        </m:r>
        <m:r>
          <m:t>7</m:t>
        </m:r>
      </m:oMath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A, C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2022-01-27T06:30:31Z</dcterms:created>
  <dcterms:modified xsi:type="dcterms:W3CDTF">2022-01-27T06:30:31Z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OWAGiUribx0Hyscussa0NjueBDmyXxXmeesyOUuoVBie37UBQ6YYCftz/m49LD0oFETPSacRBlGCvoIpNKarvw==</vt:lpwstr>
  </property>
</Properties>
</file>