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X5b9b209f5f0c0093e2600c2597a8a14809011c9"/>
      <w:r>
        <w:t xml:space="preserve">Lesson 7: Relacionemos multiplicación y división</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3.NBT.A.3, 3.OA.A.2, 3.OA.A.3, 3.OA.B.6</w:t>
            </w:r>
          </w:p>
        </w:tc>
      </w:tr>
    </w:tbl>
    <w:p>
      <w:pPr>
        <w:pStyle w:val="Heading3"/>
      </w:pPr>
      <w:bookmarkStart w:id="23" w:name="teacher-facing-learning-goals"/>
      <w:r>
        <w:t xml:space="preserve">Teacher-facing Learning Goals</w:t>
      </w:r>
      <w:bookmarkEnd w:id="23"/>
    </w:p>
    <w:p>
      <w:pPr>
        <w:numPr>
          <w:ilvl w:val="0"/>
          <w:numId w:val="1001"/>
        </w:numPr>
      </w:pPr>
      <w:r>
        <w:t xml:space="preserve">Represent situations involving equal groups using multiplication and division equations with a symbol for the unknown quantity.</w:t>
      </w:r>
    </w:p>
    <w:p>
      <w:pPr>
        <w:numPr>
          <w:ilvl w:val="0"/>
          <w:numId w:val="1001"/>
        </w:numPr>
      </w:pPr>
      <w:r>
        <w:t xml:space="preserve">Use multiplication and division within 100 to solve problems involving equal groups.</w:t>
      </w:r>
    </w:p>
    <w:p>
      <w:pPr>
        <w:pStyle w:val="Heading3"/>
      </w:pPr>
      <w:bookmarkStart w:id="24" w:name="student-facing-learning-goals"/>
      <w:r>
        <w:t xml:space="preserve">Student-facing Learning Goals</w:t>
      </w:r>
      <w:bookmarkEnd w:id="24"/>
    </w:p>
    <w:p>
      <w:pPr>
        <w:numPr>
          <w:ilvl w:val="0"/>
          <w:numId w:val="1002"/>
        </w:numPr>
      </w:pPr>
      <w:r>
        <w:t xml:space="preserve">Hagamos más conexiones entre la multiplicación y la división.</w:t>
      </w:r>
    </w:p>
    <w:p>
      <w:pPr>
        <w:pStyle w:val="Heading3"/>
      </w:pPr>
      <w:bookmarkStart w:id="25" w:name="lesson-purpose"/>
      <w:r>
        <w:t xml:space="preserve">Lesson Purpose</w:t>
      </w:r>
      <w:bookmarkEnd w:id="25"/>
    </w:p>
    <w:p>
      <w:pPr>
        <w:pStyle w:val="FirstParagraph"/>
      </w:pPr>
      <w:r>
        <w:t xml:space="preserve">The purpose of this lesson is for students to use the relationship between multiplication and division to write equations and</w:t>
      </w:r>
      <w:r>
        <w:t xml:space="preserve"> solve problems.</w:t>
      </w:r>
    </w:p>
    <w:p>
      <w:pPr>
        <w:pStyle w:val="BodyText"/>
      </w:pPr>
      <w:r>
        <w:t xml:space="preserve">In previous lessons, students built a foundation of division understanding and connected multiplication and division equations. Here, they use a variety of representations to show how multiplication and division are related and write multiplication or division equations to represent division situations.</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Engagement (Activity 1)</w:t>
      </w:r>
    </w:p>
    <w:p>
      <w:pPr>
        <w:pStyle w:val="Heading3"/>
      </w:pPr>
      <w:bookmarkStart w:id="28" w:name="english-learners"/>
      <w:r>
        <w:t xml:space="preserve">English Learners</w:t>
      </w:r>
      <w:bookmarkEnd w:id="28"/>
    </w:p>
    <w:p>
      <w:pPr>
        <w:numPr>
          <w:ilvl w:val="0"/>
          <w:numId w:val="1004"/>
        </w:numPr>
      </w:pPr>
      <w:r>
        <w:t xml:space="preserve">MLR8 (Activity 2)</w:t>
      </w:r>
    </w:p>
    <w:p>
      <w:pPr>
        <w:pStyle w:val="Heading3"/>
      </w:pPr>
      <w:bookmarkStart w:id="29" w:name="instructional-routines"/>
      <w:r>
        <w:t xml:space="preserve">Instructional Routines</w:t>
      </w:r>
      <w:bookmarkEnd w:id="29"/>
    </w:p>
    <w:p>
      <w:pPr>
        <w:pStyle w:val="FirstParagraph"/>
      </w:pPr>
      <w:r>
        <w:t xml:space="preserve">How Many Do You See? (Warm-up)</w:t>
      </w:r>
    </w:p>
    <w:p>
      <w:pPr>
        <w:pStyle w:val="Heading3"/>
      </w:pPr>
      <w:bookmarkStart w:id="30" w:name="materials-to-copy"/>
      <w:r>
        <w:t xml:space="preserve">Materials to Copy</w:t>
      </w:r>
      <w:bookmarkEnd w:id="30"/>
    </w:p>
    <w:p>
      <w:pPr>
        <w:numPr>
          <w:ilvl w:val="0"/>
          <w:numId w:val="1005"/>
        </w:numPr>
      </w:pPr>
      <w:r>
        <w:t xml:space="preserve">Division Round Table, Spanish (groups of 1): Activity 1</w:t>
      </w:r>
    </w:p>
    <w:p>
      <w:pPr>
        <w:pStyle w:val="Heading3"/>
      </w:pPr>
      <w:bookmarkStart w:id="31" w:name="lesson-timeline"/>
      <w:r>
        <w:t xml:space="preserve">Lesson Timeline</w:t>
      </w:r>
      <w:bookmarkEnd w:id="31"/>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20 min</w:t>
            </w:r>
          </w:p>
        </w:tc>
      </w:tr>
      <w:tr>
        <w:tc>
          <w:p>
            <w:pPr>
              <w:pStyle w:val="Compact"/>
              <w:jc w:val="left"/>
            </w:pPr>
            <w:r>
              <w:t xml:space="preserve">Activity 2</w:t>
            </w:r>
          </w:p>
        </w:tc>
        <w:tc>
          <w:p>
            <w:pPr>
              <w:pStyle w:val="Compact"/>
              <w:jc w:val="left"/>
            </w:pPr>
            <w:r>
              <w:t xml:space="preserve">15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2" w:name="teacher-reflection-question"/>
      <w:r>
        <w:t xml:space="preserve">Teacher Reflection Question</w:t>
      </w:r>
      <w:bookmarkEnd w:id="32"/>
    </w:p>
    <w:p>
      <w:pPr>
        <w:pStyle w:val="FirstParagraph"/>
      </w:pPr>
      <w:r>
        <w:t xml:space="preserve">Which question did you ask today that best supported students’ understanding of how multiplication and division equations are related? What did students say or do that showed the question was effective?</w:t>
      </w:r>
    </w:p>
    <w:p>
      <w:r>
        <w:pict>
          <v:rect style="width:0;height:1.5pt" o:hralign="center" o:hrstd="t" o:hr="t"/>
        </w:pict>
      </w:r>
    </w:p>
    <w:p>
      <w:pPr>
        <w:pStyle w:val="Heading2"/>
      </w:pPr>
      <w:bookmarkStart w:id="33" w:name="cool-down"/>
      <w:r>
        <w:t xml:space="preserve">Cool-down</w:t>
      </w:r>
      <w:bookmarkEnd w:id="33"/>
    </w:p>
    <w:p>
      <w:pPr>
        <w:pStyle w:val="FirstParagraph"/>
      </w:pPr>
      <w:r>
        <w:t xml:space="preserve">(to be completed at the end of the lesson)</w:t>
      </w:r>
    </w:p>
    <w:p>
      <w:pPr>
        <w:pStyle w:val="BodyText"/>
      </w:pPr>
      <w:r>
        <w:t xml:space="preserve">5</w:t>
      </w:r>
      <w:r>
        <w:t xml:space="preserve">min</w:t>
      </w:r>
    </w:p>
    <w:p>
      <w:pPr>
        <w:pStyle w:val="BodyText"/>
      </w:pPr>
      <w:r>
        <w:t xml:space="preserve">Rosas para compartir</w:t>
      </w:r>
    </w:p>
    <w:p>
      <w:pPr>
        <w:pStyle w:val="Heading3"/>
      </w:pPr>
      <w:bookmarkStart w:id="34" w:name="standards-alignments-1"/>
      <w:r>
        <w:t xml:space="preserve">Standards Alignments</w:t>
      </w:r>
      <w:bookmarkEnd w:id="34"/>
    </w:p>
    <w:tbl>
      <w:tblPr>
        <w:tblStyle w:val="Table"/>
        <w:tblW w:type="pct" w:w="0.0"/>
        <w:tblLook w:firstRow="0"/>
      </w:tblPr>
      <w:tblGrid/>
      <w:tr>
        <w:tc>
          <w:p>
            <w:pPr>
              <w:pStyle w:val="Compact"/>
              <w:jc w:val="left"/>
            </w:pPr>
            <w:r>
              <w:t xml:space="preserve">Addressing</w:t>
            </w:r>
          </w:p>
        </w:tc>
        <w:tc>
          <w:p>
            <w:pPr>
              <w:pStyle w:val="Compact"/>
              <w:jc w:val="left"/>
            </w:pPr>
            <w:r>
              <w:t xml:space="preserve">3.OA.B.6</w:t>
            </w:r>
          </w:p>
        </w:tc>
      </w:tr>
    </w:tbl>
    <w:p>
      <w:pPr>
        <w:pStyle w:val="Heading3"/>
      </w:pPr>
      <w:bookmarkStart w:id="35" w:name="student-facing-task-statement"/>
      <w:r>
        <w:t xml:space="preserve">Student-facing Task Statement</w:t>
      </w:r>
      <w:bookmarkEnd w:id="35"/>
    </w:p>
    <w:p>
      <w:pPr>
        <w:pStyle w:val="FirstParagraph"/>
      </w:pPr>
      <w:r>
        <w:t xml:space="preserve">Clare tiene 14 rosas. Quiere darle 2 rosas a cada una de sus profesoras. ¿A cuántas profesoras les puede dar rosas?</w:t>
      </w:r>
    </w:p>
    <w:p>
      <w:pPr>
        <w:pStyle w:val="BodyText"/>
      </w:pPr>
      <w:r>
        <w:t xml:space="preserve">Escribe una ecuación de multiplicación y una ecuación de división que representen la situación. Usa símbolos para representar los números desconocidos y explica tu razonamiento.</w:t>
      </w:r>
    </w:p>
    <w:p>
      <w:pPr>
        <w:pStyle w:val="Heading3"/>
      </w:pPr>
      <w:bookmarkStart w:id="36" w:name="student-responses"/>
      <w:r>
        <w:t xml:space="preserve">Student Responses</w:t>
      </w:r>
      <w:bookmarkEnd w:id="36"/>
    </w:p>
    <w:p>
      <w:pPr>
        <w:pStyle w:val="FirstParagraph"/>
      </w:pPr>
      <m:oMath>
        <m:r>
          <m:t>?</m:t>
        </m:r>
        <m:r>
          <m:t>×</m:t>
        </m:r>
        <m:r>
          <m:t>2</m:t>
        </m:r>
        <m:r>
          <m:t>=</m:t>
        </m:r>
        <m:r>
          <m:t>14</m:t>
        </m:r>
      </m:oMath>
      <w:r>
        <w:t xml:space="preserve"> and </w:t>
      </w:r>
      <m:oMath>
        <m:r>
          <m:t>14</m:t>
        </m:r>
        <m:r>
          <m:t>÷</m:t>
        </m:r>
        <m:r>
          <m:t>2</m:t>
        </m:r>
        <m:r>
          <m:t>=</m:t>
        </m:r>
        <m:r>
          <m:t>?</m:t>
        </m:r>
      </m:oMath>
    </w:p>
    <w:p>
      <w:pPr>
        <w:pStyle w:val="BodyText"/>
      </w:pPr>
      <w:r>
        <w:t xml:space="preserve">Sample response: I know she has 14 roses and wants to put them in groups of 2. The question is asking me how many groups there will be, which is how many teachers will get roses and is represented by the “?”.</w:t>
      </w:r>
    </w:p>
    <w:p>
      <w:pPr>
        <w:pStyle w:val="BodyText"/>
      </w:pPr>
      <w:r>
        <w:t xml:space="preserve">Note: It is most important that students accurately explain that the size of the groups is known, but not the number of groups. They may reverse the factors in the multiplication equation.</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2022-01-27T06:30:34Z</dcterms:created>
  <dcterms:modified xsi:type="dcterms:W3CDTF">2022-01-27T06:30:34Z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6xr34iGW31AILHnzuAI9a3gX1WZUVqLt6/NsdR40kXNMpURqKNKoRPSVQLM36LR1V80eFkEYsVoQptxlYTpu1A==</vt:lpwstr>
  </property>
</Properties>
</file>