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describing-transformations"/>
    <w:p>
      <w:pPr>
        <w:pStyle w:val="Heading2"/>
      </w:pPr>
      <w:r>
        <w:t xml:space="preserve">Lesson 5: Describing Transformations</w:t>
      </w:r>
    </w:p>
    <w:bookmarkEnd w:id="20"/>
    <w:p>
      <w:pPr>
        <w:pStyle w:val="FirstParagraph"/>
      </w:pPr>
      <w:r>
        <w:t xml:space="preserve">Let’s transform some polygons in the coordinate plane.</w:t>
      </w:r>
    </w:p>
    <w:bookmarkStart w:id="24" w:name="finding-a-center-of-rotation"/>
    <w:p>
      <w:pPr>
        <w:pStyle w:val="Heading3"/>
      </w:pPr>
      <w:r>
        <w:t xml:space="preserve">5.1: Finding a Center of Rotation</w:t>
      </w:r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22" name="Picture"/>
            <a:graphic>
              <a:graphicData uri="http://schemas.openxmlformats.org/drawingml/2006/picture">
                <pic:pic>
                  <pic:nvPicPr>
                    <pic:cNvPr descr="/app/tmp/embedder-1671072999.53006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info-gap-transformation-information"/>
    <w:p>
      <w:pPr>
        <w:pStyle w:val="Heading3"/>
      </w:pPr>
      <w:r>
        <w:t xml:space="preserve">5.2: Info Gap: Transformation Information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Sometimes two transformations, one performed after the other, have a nice description as a single transformation. For example, instead of translating 2 units up followed by translating 3 units up, we could simply translate 5 units up. Instead of rotating 20 degrees counterclockwise around the origin followed by rotating 80 degrees clockwise around the origin, we could simply rotate 60 degrees clockwise around the origin.</w:t>
      </w:r>
    </w:p>
    <w:p>
      <w:pPr>
        <w:pStyle w:val="BodyText"/>
      </w:pPr>
      <w:r>
        <w:t xml:space="preserve">Can you find a simple description of reflecting across the</w:t>
      </w:r>
      <w:r>
        <w:t xml:space="preserve"> </w:t>
      </w:r>
      <m:oMath>
        <m:r>
          <m:t>x</m:t>
        </m:r>
      </m:oMath>
      <w:r>
        <w:t xml:space="preserve">-axis followed by reflecting across the</w:t>
      </w:r>
      <w:r>
        <w:t xml:space="preserve"> </w:t>
      </w:r>
      <m:oMath>
        <m:r>
          <m:t>y</m:t>
        </m:r>
      </m:oMath>
      <w:r>
        <w:t xml:space="preserve">-axis?</w:t>
      </w:r>
    </w:p>
    <w:bookmarkEnd w:id="25"/>
    <w:bookmarkEnd w:id="26"/>
    <w:bookmarkStart w:id="36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The center of a rotation for a figure doesn’t have to be one of the points on the figure. To find a center of rotation, look for a point that is the same distance from two corresponding points. You will probably have to do this for a couple of different pairs of corresponding points to nail it down.</w:t>
      </w:r>
    </w:p>
    <w:p>
      <w:pPr>
        <w:pStyle w:val="BodyText"/>
      </w:pPr>
      <w:r>
        <w:t xml:space="preserve">When we perform a sequence of transformations, the order of the transformations can be important.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translated up two units and then reflected over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1072999.59190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x</m:t>
        </m:r>
      </m:oMath>
      <w:r>
        <w:t xml:space="preserve">-axis and then translated up two units.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ends up in different places when the transformations are applied in the opposite order!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1072999.61512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2022-12-15T02:56:40Z</dcterms:created>
  <dcterms:modified xsi:type="dcterms:W3CDTF">2022-12-15T02:56:40Z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W2L7U08GgvokgKvjytkKnyonfZRjF/YprYZEKWFR4Ky4LAEUIyUNLiwTAW4b34taFhc1OD6Ojv64moLO9jy2BA==</vt:lpwstr>
  </property>
</Properties>
</file>