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0.svg" ContentType="image/svg+xml;base64"/>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0" name="Picture"/>
                    <pic:cNvPicPr>
                      <a:picLocks noChangeArrowheads="1" noChangeAspect="1"/>
                    </pic:cNvPicPr>
                  </pic:nvPicPr>
                  <pic:blipFill>
                    <a:blip r:embed="rId20"/>
                    <a:stretch>
                      <a:fillRect/>
                    </a:stretch>
                  </pic:blipFill>
                  <pic:spPr bwMode="auto">
                    <a:xfrm>
                      <a:off x="0" y="0"/>
                      <a:ext cx="3810000" cy="2540000"/>
                    </a:xfrm>
                    <a:prstGeom prst="rect">
                      <a:avLst/>
                    </a:prstGeom>
                    <a:noFill/>
                    <a:ln w="9525">
                      <a:noFill/>
                      <a:headEnd/>
                      <a:tailEnd/>
                    </a:ln>
                  </pic:spPr>
                </pic:pic>
              </a:graphicData>
            </a:graphic>
          </wp:inline>
        </w:drawing>
      </w:r>
    </w:p>
    <w:p>
      <w:pPr>
        <w:pStyle w:val="Heading1"/>
      </w:pPr>
      <w:bookmarkStart w:id="21" w:name="lesson-4-find-all-the-ways-optional"/>
      <w:r>
        <w:t xml:space="preserve">Lesson 4: Find All the Ways (Optional)</w:t>
      </w:r>
      <w:bookmarkEnd w:id="21"/>
    </w:p>
    <w:p>
      <w:pPr>
        <w:pStyle w:val="Heading3"/>
      </w:pPr>
      <w:bookmarkStart w:id="22" w:name="standards-alignments"/>
      <w:r>
        <w:t xml:space="preserve">Standards Alignments</w:t>
      </w:r>
      <w:bookmarkEnd w:id="22"/>
    </w:p>
    <w:tbl>
      <w:tblPr>
        <w:tblStyle w:val="Table"/>
        <w:tblW w:type="pct" w:w="0.0"/>
        <w:tblLook w:firstRow="0"/>
      </w:tblPr>
      <w:tblGrid/>
      <w:tr>
        <w:tc>
          <w:p>
            <w:pPr>
              <w:pStyle w:val="Compact"/>
              <w:jc w:val="left"/>
            </w:pPr>
            <w:r>
              <w:t xml:space="preserve">Addressing</w:t>
            </w:r>
          </w:p>
        </w:tc>
        <w:tc>
          <w:p>
            <w:pPr>
              <w:pStyle w:val="Compact"/>
              <w:jc w:val="left"/>
            </w:pPr>
            <w:r>
              <w:t xml:space="preserve">K.CC.A.1, K.CC.A.2, K.OA.A.3</w:t>
            </w:r>
          </w:p>
        </w:tc>
      </w:tr>
    </w:tbl>
    <w:p>
      <w:pPr>
        <w:pStyle w:val="Heading3"/>
      </w:pPr>
      <w:bookmarkStart w:id="23" w:name="teacher-facing-learning-goals"/>
      <w:r>
        <w:t xml:space="preserve">Teacher-facing Learning Goals</w:t>
      </w:r>
      <w:bookmarkEnd w:id="23"/>
    </w:p>
    <w:p>
      <w:pPr>
        <w:numPr>
          <w:ilvl w:val="0"/>
          <w:numId w:val="1001"/>
        </w:numPr>
      </w:pPr>
      <w:r>
        <w:t xml:space="preserve">Compose and decompose numbers up to 9.</w:t>
      </w:r>
    </w:p>
    <w:p>
      <w:pPr>
        <w:numPr>
          <w:ilvl w:val="0"/>
          <w:numId w:val="1001"/>
        </w:numPr>
      </w:pPr>
      <w:r>
        <w:t xml:space="preserve">Find all the ways to decompose a number.</w:t>
      </w:r>
    </w:p>
    <w:p>
      <w:pPr>
        <w:pStyle w:val="Heading3"/>
      </w:pPr>
      <w:bookmarkStart w:id="24" w:name="student-facing-learning-goals"/>
      <w:r>
        <w:t xml:space="preserve">Student-facing Learning Goals</w:t>
      </w:r>
      <w:bookmarkEnd w:id="24"/>
    </w:p>
    <w:p>
      <w:pPr>
        <w:numPr>
          <w:ilvl w:val="0"/>
          <w:numId w:val="1002"/>
        </w:numPr>
      </w:pPr>
      <w:r>
        <w:t xml:space="preserve">Let’s find all the ways to break apart a number.</w:t>
      </w:r>
    </w:p>
    <w:p>
      <w:pPr>
        <w:pStyle w:val="Heading3"/>
      </w:pPr>
      <w:bookmarkStart w:id="25" w:name="lesson-purpose"/>
      <w:r>
        <w:t xml:space="preserve">Lesson Purpose</w:t>
      </w:r>
      <w:bookmarkEnd w:id="25"/>
    </w:p>
    <w:p>
      <w:pPr>
        <w:pStyle w:val="FirstParagraph"/>
      </w:pPr>
      <w:r>
        <w:t xml:space="preserve">The purpose of this lesson is for students to find all the ways to decompose a number.</w:t>
      </w:r>
    </w:p>
    <w:p>
      <w:pPr>
        <w:pStyle w:val="BodyText"/>
      </w:pPr>
      <w:r>
        <w:t xml:space="preserve">This lesson is optional because finding all of the ways to decompose a number is not an expectation of the kindergarten standards. Students look for and make use of structure (MP7) as they use the patterns in decompositions to help them find all the possible ways to decompose a number.</w:t>
      </w:r>
    </w:p>
    <w:p>
      <w:pPr>
        <w:pStyle w:val="Heading3"/>
      </w:pPr>
      <w:bookmarkStart w:id="26" w:name="access-for"/>
      <w:r>
        <w:t xml:space="preserve">Access for:</w:t>
      </w:r>
      <w:bookmarkEnd w:id="26"/>
    </w:p>
    <w:p>
      <w:pPr>
        <w:pStyle w:val="Heading3"/>
      </w:pPr>
      <w:bookmarkStart w:id="27" w:name="students-with-disabilities"/>
      <w:r>
        <w:t xml:space="preserve">Students with Disabilities</w:t>
      </w:r>
      <w:bookmarkEnd w:id="27"/>
    </w:p>
    <w:p>
      <w:pPr>
        <w:numPr>
          <w:ilvl w:val="0"/>
          <w:numId w:val="1003"/>
        </w:numPr>
      </w:pPr>
      <w:r>
        <w:t xml:space="preserve">Engagement (Activity 3)</w:t>
      </w:r>
    </w:p>
    <w:p>
      <w:pPr>
        <w:pStyle w:val="Heading3"/>
      </w:pPr>
      <w:bookmarkStart w:id="28" w:name="english-learners"/>
      <w:r>
        <w:t xml:space="preserve">English Learners</w:t>
      </w:r>
      <w:bookmarkEnd w:id="28"/>
    </w:p>
    <w:p>
      <w:pPr>
        <w:numPr>
          <w:ilvl w:val="0"/>
          <w:numId w:val="1004"/>
        </w:numPr>
      </w:pPr>
      <w:r>
        <w:t xml:space="preserve">MLR8 (Activity 1)</w:t>
      </w:r>
    </w:p>
    <w:p>
      <w:pPr>
        <w:pStyle w:val="Heading3"/>
      </w:pPr>
      <w:bookmarkStart w:id="29" w:name="instructional-routines"/>
      <w:r>
        <w:t xml:space="preserve">Instructional Routines</w:t>
      </w:r>
      <w:bookmarkEnd w:id="29"/>
    </w:p>
    <w:p>
      <w:pPr>
        <w:pStyle w:val="FirstParagraph"/>
      </w:pPr>
      <w:r>
        <w:t xml:space="preserve">Choral Count (Warm-up)</w:t>
      </w:r>
    </w:p>
    <w:p>
      <w:pPr>
        <w:pStyle w:val="Heading3"/>
      </w:pPr>
      <w:bookmarkStart w:id="30" w:name="materials-to-gather"/>
      <w:r>
        <w:t xml:space="preserve">Materials to Gather</w:t>
      </w:r>
      <w:bookmarkEnd w:id="30"/>
    </w:p>
    <w:p>
      <w:pPr>
        <w:numPr>
          <w:ilvl w:val="0"/>
          <w:numId w:val="1005"/>
        </w:numPr>
      </w:pPr>
      <w:r>
        <w:t xml:space="preserve">Connecting cubes: Activity 1, Activity 2</w:t>
      </w:r>
    </w:p>
    <w:p>
      <w:pPr>
        <w:numPr>
          <w:ilvl w:val="0"/>
          <w:numId w:val="1005"/>
        </w:numPr>
      </w:pPr>
      <w:r>
        <w:t xml:space="preserve">Materials from previous centers: Activity 3</w:t>
      </w:r>
    </w:p>
    <w:p>
      <w:pPr>
        <w:numPr>
          <w:ilvl w:val="0"/>
          <w:numId w:val="1005"/>
        </w:numPr>
      </w:pPr>
      <w:r>
        <w:t xml:space="preserve">Two-color counters: Activity 2</w:t>
      </w:r>
    </w:p>
    <w:p>
      <w:pPr>
        <w:pStyle w:val="Heading3"/>
      </w:pPr>
      <w:bookmarkStart w:id="31" w:name="lesson-timeline"/>
      <w:r>
        <w:t xml:space="preserve">Lesson Timeline</w:t>
      </w:r>
      <w:bookmarkEnd w:id="31"/>
    </w:p>
    <w:tbl>
      <w:tblPr>
        <w:tblStyle w:val="Table"/>
        <w:tblW w:type="pct" w:w="0.0"/>
        <w:tblLook w:firstRow="0"/>
      </w:tblPr>
      <w:tblGrid/>
      <w:tr>
        <w:tc>
          <w:p>
            <w:pPr>
              <w:pStyle w:val="Compact"/>
              <w:jc w:val="left"/>
            </w:pPr>
            <w:r>
              <w:t xml:space="preserve">Warm-up</w:t>
            </w:r>
          </w:p>
        </w:tc>
        <w:tc>
          <w:p>
            <w:pPr>
              <w:pStyle w:val="Compact"/>
              <w:jc w:val="left"/>
            </w:pPr>
            <w:r>
              <w:t xml:space="preserve">10 min</w:t>
            </w:r>
          </w:p>
        </w:tc>
      </w:tr>
      <w:tr>
        <w:tc>
          <w:p>
            <w:pPr>
              <w:pStyle w:val="Compact"/>
              <w:jc w:val="left"/>
            </w:pPr>
            <w:r>
              <w:t xml:space="preserve">Activity 1</w:t>
            </w:r>
          </w:p>
        </w:tc>
        <w:tc>
          <w:p>
            <w:pPr>
              <w:pStyle w:val="Compact"/>
              <w:jc w:val="left"/>
            </w:pPr>
            <w:r>
              <w:t xml:space="preserve">10 min</w:t>
            </w:r>
          </w:p>
        </w:tc>
      </w:tr>
      <w:tr>
        <w:tc>
          <w:p>
            <w:pPr>
              <w:pStyle w:val="Compact"/>
              <w:jc w:val="left"/>
            </w:pPr>
            <w:r>
              <w:t xml:space="preserve">Activity 2</w:t>
            </w:r>
          </w:p>
        </w:tc>
        <w:tc>
          <w:p>
            <w:pPr>
              <w:pStyle w:val="Compact"/>
              <w:jc w:val="left"/>
            </w:pPr>
            <w:r>
              <w:t xml:space="preserve">15 min</w:t>
            </w:r>
          </w:p>
        </w:tc>
      </w:tr>
      <w:tr>
        <w:tc>
          <w:p>
            <w:pPr>
              <w:pStyle w:val="Compact"/>
              <w:jc w:val="left"/>
            </w:pPr>
            <w:r>
              <w:t xml:space="preserve">Activity 3</w:t>
            </w:r>
          </w:p>
        </w:tc>
        <w:tc>
          <w:p>
            <w:pPr>
              <w:pStyle w:val="Compact"/>
              <w:jc w:val="left"/>
            </w:pPr>
            <w:r>
              <w:t xml:space="preserve">20 min</w:t>
            </w:r>
          </w:p>
        </w:tc>
      </w:tr>
      <w:tr>
        <w:tc>
          <w:p>
            <w:pPr>
              <w:pStyle w:val="Compact"/>
              <w:jc w:val="left"/>
            </w:pPr>
            <w:r>
              <w:t xml:space="preserve">Lesson Synthesis</w:t>
            </w:r>
          </w:p>
        </w:tc>
        <w:tc>
          <w:p>
            <w:pPr>
              <w:pStyle w:val="Compact"/>
              <w:jc w:val="left"/>
            </w:pPr>
            <w:r>
              <w:t xml:space="preserve">5 min</w:t>
            </w:r>
          </w:p>
        </w:tc>
      </w:tr>
    </w:tbl>
    <w:p>
      <w:pPr>
        <w:pStyle w:val="Heading3"/>
      </w:pPr>
      <w:bookmarkStart w:id="32" w:name="teacher-reflection-question"/>
      <w:r>
        <w:t xml:space="preserve">Teacher Reflection Question</w:t>
      </w:r>
      <w:bookmarkEnd w:id="32"/>
    </w:p>
    <w:p>
      <w:pPr>
        <w:pStyle w:val="FirstParagraph"/>
      </w:pPr>
      <w:r>
        <w:t xml:space="preserve">What part of the lesson went well today in terms of students’ learning? What did you do that made that part go well?</w:t>
      </w:r>
    </w:p>
    <w:p>
      <w:r>
        <w:pict>
          <v:rect style="width:0;height:1.5pt" o:hralign="center" o:hrstd="t" o:hr="t"/>
        </w:pict>
      </w:r>
    </w:p>
    <w:p>
      <w:pPr>
        <w:pStyle w:val="Heading2"/>
      </w:pPr>
      <w:bookmarkStart w:id="33" w:name="cool-down"/>
      <w:r>
        <w:t xml:space="preserve">Cool-down</w:t>
      </w:r>
      <w:bookmarkEnd w:id="33"/>
    </w:p>
    <w:p>
      <w:pPr>
        <w:pStyle w:val="FirstParagraph"/>
      </w:pPr>
      <w:r>
        <w:t xml:space="preserve">(to be completed at the end of the lesson)</w:t>
      </w:r>
    </w:p>
    <w:p>
      <w:pPr>
        <w:pStyle w:val="BodyText"/>
      </w:pPr>
      <w:r>
        <w:t xml:space="preserve">0</w:t>
      </w:r>
      <w:r>
        <w:t xml:space="preserve">min</w:t>
      </w:r>
    </w:p>
    <w:p>
      <w:pPr>
        <w:pStyle w:val="BodyText"/>
      </w:pPr>
      <w:r>
        <w:t xml:space="preserve">Unit 5, Section A Checkpoint</w:t>
      </w:r>
    </w:p>
    <w:p>
      <w:pPr>
        <w:pStyle w:val="Heading3"/>
      </w:pPr>
      <w:bookmarkStart w:id="34" w:name="standards-alignments-1"/>
      <w:r>
        <w:t xml:space="preserve">Standards Alignments</w:t>
      </w:r>
      <w:bookmarkEnd w:id="34"/>
    </w:p>
    <w:tbl>
      <w:tblPr>
        <w:tblStyle w:val="Table"/>
        <w:tblW w:type="pct" w:w="0.0"/>
        <w:tblLook w:firstRow="0"/>
      </w:tblPr>
      <w:tblGrid/>
      <w:tr>
        <w:tc>
          <w:p>
            <w:pPr>
              <w:pStyle w:val="Compact"/>
              <w:jc w:val="left"/>
            </w:pPr>
            <w:r>
              <w:t xml:space="preserve">Addressing</w:t>
            </w:r>
          </w:p>
        </w:tc>
        <w:tc>
          <w:p>
            <w:pPr>
              <w:pStyle w:val="Compact"/>
              <w:jc w:val="left"/>
            </w:pPr>
            <w:r>
              <w:t xml:space="preserve">K.OA.A.3</w:t>
            </w:r>
          </w:p>
        </w:tc>
      </w:tr>
    </w:tbl>
    <w:p>
      <w:pPr>
        <w:pStyle w:val="Heading3"/>
      </w:pPr>
      <w:bookmarkStart w:id="35" w:name="student-facing-task-statement"/>
      <w:r>
        <w:t xml:space="preserve">Student-facing Task Statement</w:t>
      </w:r>
      <w:bookmarkEnd w:id="35"/>
    </w:p>
    <w:p>
      <w:pPr>
        <w:pStyle w:val="FirstParagraph"/>
      </w:pPr>
      <w:r>
        <w:t xml:space="preserve">Lesson observations</w:t>
      </w:r>
    </w:p>
    <w:p>
      <w:pPr>
        <w:pStyle w:val="Heading3"/>
      </w:pPr>
      <w:bookmarkStart w:id="36" w:name="student-responses"/>
      <w:r>
        <w:t xml:space="preserve">Student Responses</w:t>
      </w:r>
      <w:bookmarkEnd w:id="36"/>
    </w:p>
    <w:p>
      <w:pPr>
        <w:numPr>
          <w:ilvl w:val="0"/>
          <w:numId w:val="1006"/>
        </w:numPr>
      </w:pPr>
      <w:r>
        <w:t xml:space="preserve">Compose and decompose numbers up to 9 in more than 1 way.</w:t>
      </w:r>
    </w:p>
    <w:p>
      <w:pPr>
        <w:numPr>
          <w:ilvl w:val="0"/>
          <w:numId w:val="1006"/>
        </w:numPr>
      </w:pPr>
      <w:r>
        <w:t xml:space="preserve">Represent decompositions with objects, drawings, and expressions.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0" Target="media/rId20.sv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2021-10-02T02:26:25Z</dcterms:created>
  <dcterms:modified xsi:type="dcterms:W3CDTF">2021-10-02T02:26:25Z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Rj7QzM8Ngeu3vGNgC9vYUfgzjYeDzL0HfIO2PVDhZIG68TM8IBqxjLKTWWVhEzAKLOtr0JPEkY1KxS6ZRTByFw==</vt:lpwstr>
  </property>
</Properties>
</file>