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lesson-8-more-than-one-way"/>
      <w:r>
        <w:t xml:space="preserve">Lesson 8: More Than One Way</w:t>
      </w:r>
      <w:bookmarkEnd w:id="21"/>
    </w:p>
    <w:p>
      <w:pPr>
        <w:pStyle w:val="Heading3"/>
      </w:pPr>
      <w:bookmarkStart w:id="22" w:name="standards-alignments"/>
      <w:r>
        <w:t xml:space="preserve">Standards Alignments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K.OA.A.1, K.OA.A.2, K.OA.A.3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p>
            <w:pPr>
              <w:pStyle w:val="Compact"/>
              <w:jc w:val="left"/>
            </w:pPr>
            <w:r>
              <w:t xml:space="preserve">K.OA.A.5</w:t>
            </w:r>
          </w:p>
        </w:tc>
      </w:tr>
    </w:tbl>
    <w:p>
      <w:pPr>
        <w:pStyle w:val="Heading3"/>
      </w:pPr>
      <w:bookmarkStart w:id="23" w:name="teacher-facing-learning-goals"/>
      <w:r>
        <w:t xml:space="preserve">Teacher-facing Learning Goals</w:t>
      </w:r>
      <w:bookmarkEnd w:id="23"/>
    </w:p>
    <w:p>
      <w:pPr>
        <w:numPr>
          <w:ilvl w:val="0"/>
          <w:numId w:val="1001"/>
        </w:numPr>
      </w:pPr>
      <w:r>
        <w:t xml:space="preserve">Find more than one solution to a Put Together/Take Apart, Both Addends Unknown story problem.</w:t>
      </w:r>
    </w:p>
    <w:p>
      <w:pPr>
        <w:pStyle w:val="Heading3"/>
      </w:pPr>
      <w:bookmarkStart w:id="24" w:name="student-facing-learning-goals"/>
      <w:r>
        <w:t xml:space="preserve">Student-facing Learning Goals</w:t>
      </w:r>
      <w:bookmarkEnd w:id="24"/>
    </w:p>
    <w:p>
      <w:pPr>
        <w:numPr>
          <w:ilvl w:val="0"/>
          <w:numId w:val="1002"/>
        </w:numPr>
      </w:pPr>
      <w:r>
        <w:t xml:space="preserve">Let’s find more than one way to solve a problem.</w:t>
      </w:r>
    </w:p>
    <w:p>
      <w:pPr>
        <w:pStyle w:val="Heading3"/>
      </w:pPr>
      <w:bookmarkStart w:id="25" w:name="lesson-purpose"/>
      <w:r>
        <w:t xml:space="preserve">Lesson Purpose</w:t>
      </w:r>
      <w:bookmarkEnd w:id="25"/>
    </w:p>
    <w:p>
      <w:pPr>
        <w:pStyle w:val="FirstParagraph"/>
      </w:pPr>
      <w:r>
        <w:t xml:space="preserve">The purpose of this lesson is for students to find more than one solution to a Put Together/Take Apart, Both Addends Unknown story problem.</w:t>
      </w:r>
    </w:p>
    <w:p>
      <w:pPr>
        <w:pStyle w:val="BodyText"/>
      </w:pPr>
      <w:r>
        <w:t xml:space="preserve">In previous lessons, students solved Put Together/Take Apart, Both Addends Unknown story problems and noticed that there is more than 1 solution. This is the first lesson in which students are asked to find more than one solution to a Put Together/Take Apart, Both Addends Unknown story problem.</w:t>
      </w:r>
    </w:p>
    <w:p>
      <w:pPr>
        <w:pStyle w:val="Heading3"/>
      </w:pPr>
      <w:bookmarkStart w:id="26" w:name="access-for"/>
      <w:r>
        <w:t xml:space="preserve">Access for:</w:t>
      </w:r>
      <w:bookmarkEnd w:id="26"/>
    </w:p>
    <w:p>
      <w:pPr>
        <w:pStyle w:val="Heading3"/>
      </w:pPr>
      <w:bookmarkStart w:id="27" w:name="students-with-disabilities"/>
      <w:r>
        <w:t xml:space="preserve">Students with Disabilities</w:t>
      </w:r>
      <w:bookmarkEnd w:id="27"/>
    </w:p>
    <w:p>
      <w:pPr>
        <w:numPr>
          <w:ilvl w:val="0"/>
          <w:numId w:val="1003"/>
        </w:numPr>
      </w:pPr>
      <w:r>
        <w:t xml:space="preserve">Representation (Activity 2)</w:t>
      </w:r>
    </w:p>
    <w:p>
      <w:pPr>
        <w:pStyle w:val="Heading3"/>
      </w:pPr>
      <w:bookmarkStart w:id="28" w:name="english-learners"/>
      <w:r>
        <w:t xml:space="preserve">English Learners</w:t>
      </w:r>
      <w:bookmarkEnd w:id="28"/>
    </w:p>
    <w:p>
      <w:pPr>
        <w:numPr>
          <w:ilvl w:val="0"/>
          <w:numId w:val="1004"/>
        </w:numPr>
      </w:pPr>
      <w:r>
        <w:t xml:space="preserve">MLR8 (Activity 1)</w:t>
      </w:r>
    </w:p>
    <w:p>
      <w:pPr>
        <w:pStyle w:val="Heading3"/>
      </w:pPr>
      <w:bookmarkStart w:id="29" w:name="instructional-routines"/>
      <w:r>
        <w:t xml:space="preserve">Instructional Routines</w:t>
      </w:r>
      <w:bookmarkEnd w:id="29"/>
    </w:p>
    <w:p>
      <w:pPr>
        <w:pStyle w:val="FirstParagraph"/>
      </w:pPr>
      <w:r>
        <w:t xml:space="preserve">Number Talk (Warm-up)</w:t>
      </w:r>
    </w:p>
    <w:p>
      <w:pPr>
        <w:pStyle w:val="Heading3"/>
      </w:pPr>
      <w:bookmarkStart w:id="30" w:name="materials-to-gather"/>
      <w:r>
        <w:t xml:space="preserve">Materials to Gather</w:t>
      </w:r>
      <w:bookmarkEnd w:id="30"/>
    </w:p>
    <w:p>
      <w:pPr>
        <w:numPr>
          <w:ilvl w:val="0"/>
          <w:numId w:val="1005"/>
        </w:numPr>
      </w:pPr>
      <w:r>
        <w:t xml:space="preserve">Connecting cubes or two-color counters: Activity 1, Activity 2</w:t>
      </w:r>
    </w:p>
    <w:p>
      <w:pPr>
        <w:numPr>
          <w:ilvl w:val="0"/>
          <w:numId w:val="1005"/>
        </w:numPr>
      </w:pPr>
      <w:r>
        <w:t xml:space="preserve">Materials from previous centers: Activity 3</w:t>
      </w:r>
    </w:p>
    <w:p>
      <w:pPr>
        <w:pStyle w:val="Heading3"/>
      </w:pPr>
      <w:bookmarkStart w:id="31" w:name="lesson-timeline"/>
      <w:r>
        <w:t xml:space="preserve">Lesson Timeline</w:t>
      </w:r>
      <w:bookmarkEnd w:id="3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p>
            <w:pPr>
              <w:pStyle w:val="Compact"/>
              <w:jc w:val="left"/>
            </w:pPr>
            <w:r>
              <w:t xml:space="preserve">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p>
      <w:pPr>
        <w:pStyle w:val="Heading3"/>
      </w:pPr>
      <w:bookmarkStart w:id="32" w:name="teacher-reflection-question"/>
      <w:r>
        <w:t xml:space="preserve">Teacher Reflection Question</w:t>
      </w:r>
      <w:bookmarkEnd w:id="32"/>
    </w:p>
    <w:p>
      <w:pPr>
        <w:pStyle w:val="FirstParagraph"/>
      </w:pPr>
      <w:r>
        <w:t xml:space="preserve">In the previous section, students composed and decomposed numbers in multiple ways. How did the work of decomposing numbers in multiple ways prepare students to find more than one solution to a Put Together/Take Apart, Both Addends Unknown story problem?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3" w:name="cool-down"/>
      <w:r>
        <w:t xml:space="preserve">Cool-down</w:t>
      </w:r>
      <w:bookmarkEnd w:id="33"/>
    </w:p>
    <w:p>
      <w:pPr>
        <w:pStyle w:val="FirstParagraph"/>
      </w:pPr>
      <w:r>
        <w:t xml:space="preserve">(to be completed at the end of the lesson)</w:t>
      </w:r>
    </w:p>
    <w:p>
      <w:pPr>
        <w:pStyle w:val="BodyText"/>
      </w:pPr>
      <w:r>
        <w:t xml:space="preserve">5</w:t>
      </w:r>
      <w:r>
        <w:t xml:space="preserve">min</w:t>
      </w:r>
    </w:p>
    <w:p>
      <w:pPr>
        <w:pStyle w:val="BodyText"/>
      </w:pPr>
      <w:r>
        <w:t xml:space="preserve">Both Addends Unknown</w:t>
      </w:r>
    </w:p>
    <w:p>
      <w:pPr>
        <w:pStyle w:val="Heading3"/>
      </w:pPr>
      <w:bookmarkStart w:id="34" w:name="standards-alignments-1"/>
      <w:r>
        <w:t xml:space="preserve">Standards Alignments</w:t>
      </w:r>
      <w:bookmarkEnd w:id="3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K.OA.A.1, K.OA.A.2, K.OA.A.3</w:t>
            </w:r>
          </w:p>
        </w:tc>
      </w:tr>
    </w:tbl>
    <w:p>
      <w:pPr>
        <w:pStyle w:val="Heading3"/>
      </w:pPr>
      <w:bookmarkStart w:id="35" w:name="student-facing-task-statement"/>
      <w:r>
        <w:t xml:space="preserve">Student-facing Task Statement</w:t>
      </w:r>
      <w:bookmarkEnd w:id="35"/>
    </w:p>
    <w:p>
      <w:pPr>
        <w:pStyle w:val="FirstParagraph"/>
      </w:pPr>
      <w:r>
        <w:t xml:space="preserve">Kiran bought 6 plums at the store.</w:t>
      </w:r>
    </w:p>
    <w:p>
      <w:pPr>
        <w:pStyle w:val="BodyText"/>
      </w:pPr>
      <w:r>
        <w:t xml:space="preserve">Some of the plums were red.</w:t>
      </w:r>
    </w:p>
    <w:p>
      <w:pPr>
        <w:pStyle w:val="BodyText"/>
      </w:pPr>
      <w:r>
        <w:t xml:space="preserve">The rest of the plums were purple.</w:t>
      </w:r>
    </w:p>
    <w:p>
      <w:pPr>
        <w:pStyle w:val="BodyText"/>
      </w:pPr>
      <w:r>
        <w:t xml:space="preserve">How many of the plums were red?</w:t>
      </w:r>
    </w:p>
    <w:p>
      <w:pPr>
        <w:pStyle w:val="BodyText"/>
      </w:pPr>
      <w:r>
        <w:t xml:space="preserve">Then how many of the plums were purple?</w:t>
      </w:r>
    </w:p>
    <w:p>
      <w:pPr>
        <w:pStyle w:val="BodyText"/>
      </w:pPr>
      <w:r>
        <w:t xml:space="preserve">Show your thinking using objects, drawings, numbers, or words.</w:t>
      </w:r>
    </w:p>
    <w:p>
      <w:pPr>
        <w:pStyle w:val="Heading3"/>
      </w:pPr>
      <w:bookmarkStart w:id="36" w:name="student-responses"/>
      <w:r>
        <w:t xml:space="preserve">Student Responses</w:t>
      </w:r>
      <w:bookmarkEnd w:id="36"/>
    </w:p>
    <w:p>
      <w:pPr>
        <w:pStyle w:val="FirstParagraph"/>
      </w:pPr>
      <w:r>
        <w:t xml:space="preserve">Sample responses:</w:t>
      </w:r>
    </w:p>
    <w:p>
      <w:pPr>
        <w:numPr>
          <w:ilvl w:val="0"/>
          <w:numId w:val="1006"/>
        </w:numPr>
      </w:pPr>
      <w:r>
        <w:t xml:space="preserve">5 red plums, 1 purple plum</w:t>
      </w:r>
    </w:p>
    <w:p>
      <w:pPr>
        <w:numPr>
          <w:ilvl w:val="0"/>
          <w:numId w:val="1006"/>
        </w:numPr>
      </w:pPr>
      <w:r>
        <w:t xml:space="preserve">3 red plums, 3 purple plums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0" Target="media/rId20.sv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2021-10-02T02:26:30Z</dcterms:created>
  <dcterms:modified xsi:type="dcterms:W3CDTF">2021-10-02T02:26:30Z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jPgsOCMxU7kCqh1YL0E/iAdyKr2/YDpv5jB+xIFhthVwN8/IzCZj3geFJ11FidfT06rM6q9oFuXQduZglLCggw==</vt:lpwstr>
  </property>
</Properties>
</file>