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691e16d8981e095e2f2ecef1583b8057118fd88"/>
      <w:r>
        <w:t xml:space="preserve">Lesson 8: Relate Quotients to Familiar Products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3.OA.B.6, 3.OA.C.7</w:t>
            </w:r>
          </w:p>
        </w:tc>
      </w:tr>
    </w:tbl>
    <w:p>
      <w:pPr>
        <w:pStyle w:val="Heading3"/>
      </w:pPr>
      <w:bookmarkStart w:id="23" w:name="teacher-facing-learning-goals"/>
      <w:r>
        <w:t xml:space="preserve">Teacher-facing Learning Goals</w:t>
      </w:r>
      <w:bookmarkEnd w:id="23"/>
    </w:p>
    <w:p>
      <w:pPr>
        <w:numPr>
          <w:ilvl w:val="0"/>
          <w:numId w:val="1001"/>
        </w:numPr>
      </w:pPr>
      <w:r>
        <w:t xml:space="preserve">Identify known single-digit multiplication facts and their related division facts.</w:t>
      </w:r>
    </w:p>
    <w:p>
      <w:pPr>
        <w:pStyle w:val="Heading3"/>
      </w:pPr>
      <w:bookmarkStart w:id="24" w:name="student-facing-learning-goals"/>
      <w:r>
        <w:t xml:space="preserve">Student-facing Learning Goals</w:t>
      </w:r>
      <w:bookmarkEnd w:id="24"/>
    </w:p>
    <w:p>
      <w:pPr>
        <w:numPr>
          <w:ilvl w:val="0"/>
          <w:numId w:val="1002"/>
        </w:numPr>
      </w:pPr>
      <w:r>
        <w:t xml:space="preserve">Let’s consider the products and quotients we know right away or can find quickly.</w:t>
      </w:r>
    </w:p>
    <w:p>
      <w:pPr>
        <w:pStyle w:val="Heading3"/>
      </w:pPr>
      <w:bookmarkStart w:id="25" w:name="lesson-purpose"/>
      <w:r>
        <w:t xml:space="preserve">Lesson Purpose</w:t>
      </w:r>
      <w:bookmarkEnd w:id="25"/>
    </w:p>
    <w:p>
      <w:pPr>
        <w:pStyle w:val="FirstParagraph"/>
      </w:pPr>
      <w:r>
        <w:t xml:space="preserve">The purpose of this lesson is for students to practice identifying multiplication facts within 100 and to use products they know to determine unknown quotients.</w:t>
      </w:r>
    </w:p>
    <w:p>
      <w:pPr>
        <w:pStyle w:val="BodyText"/>
      </w:pPr>
      <w:r>
        <w:t xml:space="preserve">In this lesson, students check in on their progress towards fluent multiplication within 100 and sort their facts into categories. Then, students use the multiplication facts they know to generate related division facts. Knowing related facts will help students multiply and divide in future lessons.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Representation (Activity 1)</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Card Sort (Activity 1), Number Talk (Warm-up)</w:t>
      </w:r>
    </w:p>
    <w:p>
      <w:pPr>
        <w:pStyle w:val="Heading3"/>
      </w:pPr>
      <w:bookmarkStart w:id="30" w:name="materials-to-gather"/>
      <w:r>
        <w:t xml:space="preserve">Materials to Gather</w:t>
      </w:r>
      <w:bookmarkEnd w:id="30"/>
    </w:p>
    <w:p>
      <w:pPr>
        <w:numPr>
          <w:ilvl w:val="0"/>
          <w:numId w:val="1005"/>
        </w:numPr>
      </w:pPr>
      <w:r>
        <w:t xml:space="preserve">Materials from a previous activity: Activity 2</w:t>
      </w:r>
    </w:p>
    <w:p>
      <w:pPr>
        <w:pStyle w:val="Heading3"/>
      </w:pPr>
      <w:bookmarkStart w:id="31" w:name="materials-to-copy"/>
      <w:r>
        <w:t xml:space="preserve">Materials to Copy</w:t>
      </w:r>
      <w:bookmarkEnd w:id="31"/>
    </w:p>
    <w:p>
      <w:pPr>
        <w:numPr>
          <w:ilvl w:val="0"/>
          <w:numId w:val="1006"/>
        </w:numPr>
      </w:pPr>
      <w:r>
        <w:t xml:space="preserve">Card Sort: Multiplication (groups of 2): Activity 1</w:t>
      </w:r>
    </w:p>
    <w:p>
      <w:pPr>
        <w:numPr>
          <w:ilvl w:val="0"/>
          <w:numId w:val="1006"/>
        </w:numPr>
      </w:pPr>
      <w:r>
        <w:t xml:space="preserve">Card Sort: Multiplication Recording Sheet (groups of 2): Activity 1</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3" w:name="teacher-reflection-question"/>
      <w:r>
        <w:t xml:space="preserve">Teacher Reflection Question</w:t>
      </w:r>
      <w:bookmarkEnd w:id="33"/>
    </w:p>
    <w:p>
      <w:pPr>
        <w:pStyle w:val="FirstParagraph"/>
      </w:pPr>
      <w:r>
        <w:t xml:space="preserve">As students worked in their small groups today, whose ideas were heard, valued, and accepted? How can you adjust the group structure tomorrow to ensure each student’s ideas are a part of the collective learning?</w:t>
      </w:r>
    </w:p>
    <w:p>
      <w:r>
        <w:pict>
          <v:rect style="width:0;height:1.5pt" o:hralign="center" o:hrstd="t" o:hr="t"/>
        </w:pict>
      </w:r>
    </w:p>
    <w:p>
      <w:pPr>
        <w:pStyle w:val="Heading2"/>
      </w:pPr>
      <w:bookmarkStart w:id="34" w:name="cool-down"/>
      <w:r>
        <w:t xml:space="preserve">Cool-down</w:t>
      </w:r>
      <w:bookmarkEnd w:id="34"/>
    </w:p>
    <w:p>
      <w:pPr>
        <w:pStyle w:val="FirstParagraph"/>
      </w:pPr>
      <w:r>
        <w:t xml:space="preserve">(to be completed at the end of the lesson)</w:t>
      </w:r>
    </w:p>
    <w:p>
      <w:pPr>
        <w:pStyle w:val="BodyText"/>
      </w:pPr>
      <w:r>
        <w:t xml:space="preserve">5</w:t>
      </w:r>
      <w:r>
        <w:t xml:space="preserve">min</w:t>
      </w:r>
    </w:p>
    <w:p>
      <w:pPr>
        <w:pStyle w:val="BodyText"/>
      </w:pPr>
      <w:r>
        <w:t xml:space="preserve">Multiplication and Division Facts</w:t>
      </w:r>
    </w:p>
    <w:p>
      <w:pPr>
        <w:pStyle w:val="Heading3"/>
      </w:pPr>
      <w:bookmarkStart w:id="35" w:name="standards-alignments-1"/>
      <w:r>
        <w:t xml:space="preserve">Standards Alignments</w:t>
      </w:r>
      <w:bookmarkEnd w:id="35"/>
    </w:p>
    <w:tbl>
      <w:tblPr>
        <w:tblStyle w:val="Table"/>
        <w:tblW w:type="pct" w:w="0.0"/>
        <w:tblLook w:firstRow="0"/>
      </w:tblPr>
      <w:tblGrid/>
      <w:tr>
        <w:tc>
          <w:p>
            <w:pPr>
              <w:pStyle w:val="Compact"/>
              <w:jc w:val="left"/>
            </w:pPr>
            <w:r>
              <w:t xml:space="preserve">Addressing</w:t>
            </w:r>
          </w:p>
        </w:tc>
        <w:tc>
          <w:p>
            <w:pPr>
              <w:pStyle w:val="Compact"/>
              <w:jc w:val="left"/>
            </w:pPr>
            <w:r>
              <w:t xml:space="preserve">3.OA.B.6</w:t>
            </w:r>
          </w:p>
        </w:tc>
      </w:tr>
    </w:tbl>
    <w:p>
      <w:pPr>
        <w:pStyle w:val="Heading3"/>
      </w:pPr>
      <w:bookmarkStart w:id="36" w:name="student-facing-task-statement"/>
      <w:r>
        <w:t xml:space="preserve">Student-facing Task Statement</w:t>
      </w:r>
      <w:bookmarkEnd w:id="36"/>
    </w:p>
    <w:p>
      <w:pPr>
        <w:pStyle w:val="FirstParagraph"/>
      </w:pPr>
      <w:r>
        <w:t xml:space="preserve">Think about the multiplication facts that you know. How have they changed since the beginning of the year?</w:t>
      </w:r>
    </w:p>
    <w:p>
      <w:pPr>
        <w:pStyle w:val="Heading3"/>
      </w:pPr>
      <w:bookmarkStart w:id="37" w:name="student-responses"/>
      <w:r>
        <w:t xml:space="preserve">Student Responses</w:t>
      </w:r>
      <w:bookmarkEnd w:id="37"/>
    </w:p>
    <w:p>
      <w:pPr>
        <w:pStyle w:val="FirstParagraph"/>
      </w:pPr>
      <w:r>
        <w:t xml:space="preserve">Sample responses: I used to only know the 5s and 10s, but now I’ve used those facts to learn more. I only knew a few at the beginning of the year, but now I know a lot more.</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2021-05-02T05:26:17Z</dcterms:created>
  <dcterms:modified xsi:type="dcterms:W3CDTF">2021-05-02T05:26:17Z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GbJWO4qrUsl49rcrB5m1Y1mzdWfDnb/y35gMg1rP6TwZKa9sefELJHAI1mmd/9oG7hSU4e1+5I9pSKPhx/oJWA==</vt:lpwstr>
  </property>
</Properties>
</file>