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2.svg" ContentType="image/svg+xml;base64"/>
  <Override PartName="/word/media/rId28.svg" ContentType="image/svg+xml;base64"/>
  <Override PartName="/word/media/rId40.svg" ContentType="image/svg+xml;base64"/>
  <Override PartName="/word/media/rId20.svg" ContentType="image/svg+xml;base64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drawing>
          <wp:inline>
            <wp:extent cx="3810000" cy="2540000"/>
            <wp:effectExtent b="0" l="0" r="0" t="0"/>
            <wp:docPr descr="" title="" id="21" name="Picture"/>
            <a:graphic>
              <a:graphicData uri="http://schemas.openxmlformats.org/drawingml/2006/picture">
                <pic:pic>
                  <pic:nvPicPr>
                    <pic:cNvPr descr="data:image/svg+xml;base64,PHN2ZyBoZWlnaHQ9IjAuM2luIiB4bWxucz0iaHR0cDovL3d3dy53My5vcmcv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%0AWiIvPgogIDwvZz4KPC9zdmc+%0A" id="22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Start w:id="47" w:name="lesson-8-show-me-all-the-ways"/>
    <w:p>
      <w:pPr>
        <w:pStyle w:val="Heading1"/>
      </w:pPr>
      <w:r>
        <w:t xml:space="preserve">Lesson 8: Show Me All the Ways</w:t>
      </w:r>
    </w:p>
    <w:bookmarkStart w:id="23" w:name="standards-alignments"/>
    <w:p>
      <w:pPr>
        <w:pStyle w:val="Heading3"/>
      </w:pPr>
      <w:r>
        <w:t xml:space="preserve">Standards Alignments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Addressing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1.NBT.A.1, 1.NBT.B, 1.OA.C.6</w:t>
            </w:r>
          </w:p>
        </w:tc>
      </w:tr>
    </w:tbl>
    <w:bookmarkEnd w:id="23"/>
    <w:bookmarkStart w:id="24" w:name="teacher-facing-learning-goals"/>
    <w:p>
      <w:pPr>
        <w:pStyle w:val="Heading3"/>
      </w:pPr>
      <w:r>
        <w:t xml:space="preserve">Teacher-facing Learning Goals</w:t>
      </w:r>
    </w:p>
    <w:p>
      <w:pPr>
        <w:numPr>
          <w:ilvl w:val="0"/>
          <w:numId w:val="1001"/>
        </w:numPr>
        <w:pStyle w:val="Compact"/>
      </w:pPr>
      <w:r>
        <w:t xml:space="preserve">Represent two-digit numbers in different ways.</w:t>
      </w:r>
    </w:p>
    <w:bookmarkEnd w:id="24"/>
    <w:bookmarkStart w:id="25" w:name="student-facing-learning-goals"/>
    <w:p>
      <w:pPr>
        <w:pStyle w:val="Heading3"/>
      </w:pPr>
      <w:r>
        <w:t xml:space="preserve">Student-facing Learning Goals</w:t>
      </w:r>
    </w:p>
    <w:p>
      <w:pPr>
        <w:numPr>
          <w:ilvl w:val="0"/>
          <w:numId w:val="1002"/>
        </w:numPr>
        <w:pStyle w:val="Compact"/>
      </w:pPr>
      <w:r>
        <w:t xml:space="preserve">Let’s represent two-digit numbers in different ways.</w:t>
      </w:r>
    </w:p>
    <w:bookmarkEnd w:id="25"/>
    <w:bookmarkStart w:id="26" w:name="lesson-purpose"/>
    <w:p>
      <w:pPr>
        <w:pStyle w:val="Heading3"/>
      </w:pPr>
      <w:r>
        <w:t xml:space="preserve">Lesson Purpose</w:t>
      </w:r>
    </w:p>
    <w:p>
      <w:pPr>
        <w:pStyle w:val="FirstParagraph"/>
      </w:pPr>
      <w:r>
        <w:t xml:space="preserve">The purpose of this lesson is for students to represent two-digit numbers in different ways to demonstrate place value understanding.</w:t>
      </w:r>
    </w:p>
    <w:p>
      <w:pPr>
        <w:pStyle w:val="BodyText"/>
      </w:pPr>
      <w:r>
        <w:t xml:space="preserve">Students represent a two-digit number in as many ways as they can. They are encouraged to think about representations of their number that have different amounts of tens. Then, they do a gallery walk to compare representations their classmates made.</w:t>
      </w:r>
    </w:p>
    <w:p>
      <w:pPr>
        <w:pStyle w:val="BodyText"/>
      </w:pPr>
      <w:r>
        <w:t xml:space="preserve">If students need additional support with the concepts in this lesson, refer back to Unit 4, Section D in the curriculum materials.</w:t>
      </w:r>
    </w:p>
    <w:bookmarkEnd w:id="26"/>
    <w:bookmarkStart w:id="27" w:name="access-for"/>
    <w:p>
      <w:pPr>
        <w:pStyle w:val="Heading3"/>
      </w:pPr>
      <w:r>
        <w:t xml:space="preserve">Access for:</w:t>
      </w:r>
    </w:p>
    <w:bookmarkEnd w:id="27"/>
    <w:bookmarkStart w:id="31" w:name="students-with-disabilities"/>
    <w:p>
      <w:pPr>
        <w:pStyle w:val="Heading3"/>
      </w:pPr>
      <w:r>
        <w:drawing>
          <wp:inline>
            <wp:extent cx="3810000" cy="2540000"/>
            <wp:effectExtent b="0" l="0" r="0" t="0"/>
            <wp:docPr descr="" title="" id="29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+Cjwvc3ZnPg==" id="30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8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Students with Disabilities</w:t>
      </w:r>
    </w:p>
    <w:p>
      <w:pPr>
        <w:numPr>
          <w:ilvl w:val="0"/>
          <w:numId w:val="1003"/>
        </w:numPr>
        <w:pStyle w:val="Compact"/>
      </w:pPr>
      <w:r>
        <w:t xml:space="preserve">Action and Expression (Activity 1)</w:t>
      </w:r>
    </w:p>
    <w:bookmarkEnd w:id="31"/>
    <w:bookmarkStart w:id="35" w:name="english-learners"/>
    <w:p>
      <w:pPr>
        <w:pStyle w:val="Heading3"/>
      </w:pPr>
      <w:r>
        <w:drawing>
          <wp:inline>
            <wp:extent cx="3810000" cy="2540000"/>
            <wp:effectExtent b="0" l="0" r="0" t="0"/>
            <wp:docPr descr="" title="" id="33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+PC9wYXRoPgo8L3N2Zz4=" id="34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2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English Learners</w:t>
      </w:r>
    </w:p>
    <w:p>
      <w:pPr>
        <w:numPr>
          <w:ilvl w:val="0"/>
          <w:numId w:val="1004"/>
        </w:numPr>
        <w:pStyle w:val="Compact"/>
      </w:pPr>
      <w:r>
        <w:t xml:space="preserve">MLR7 (Activity 2)</w:t>
      </w:r>
    </w:p>
    <w:bookmarkEnd w:id="35"/>
    <w:bookmarkStart w:id="36" w:name="instructional-routines"/>
    <w:p>
      <w:pPr>
        <w:pStyle w:val="Heading3"/>
      </w:pPr>
      <w:r>
        <w:t xml:space="preserve">Instructional Routines</w:t>
      </w:r>
    </w:p>
    <w:p>
      <w:pPr>
        <w:pStyle w:val="FirstParagraph"/>
      </w:pPr>
      <w:r>
        <w:t xml:space="preserve">Estimation Exploration (Warm-up)</w:t>
      </w:r>
    </w:p>
    <w:bookmarkEnd w:id="36"/>
    <w:bookmarkStart w:id="37" w:name="materials-to-gather"/>
    <w:p>
      <w:pPr>
        <w:pStyle w:val="Heading3"/>
      </w:pPr>
      <w:r>
        <w:t xml:space="preserve">Materials to Gather</w:t>
      </w:r>
    </w:p>
    <w:p>
      <w:pPr>
        <w:numPr>
          <w:ilvl w:val="0"/>
          <w:numId w:val="1005"/>
        </w:numPr>
        <w:pStyle w:val="Compact"/>
      </w:pPr>
      <w:r>
        <w:t xml:space="preserve">Connecting cubes in towers of 10 and singles: Activity 1</w:t>
      </w:r>
    </w:p>
    <w:p>
      <w:pPr>
        <w:numPr>
          <w:ilvl w:val="0"/>
          <w:numId w:val="1005"/>
        </w:numPr>
        <w:pStyle w:val="Compact"/>
      </w:pPr>
      <w:r>
        <w:t xml:space="preserve">Materials from a previous activity: Activity 2</w:t>
      </w:r>
    </w:p>
    <w:p>
      <w:pPr>
        <w:numPr>
          <w:ilvl w:val="0"/>
          <w:numId w:val="1005"/>
        </w:numPr>
        <w:pStyle w:val="Compact"/>
      </w:pPr>
      <w:r>
        <w:t xml:space="preserve">Materials from previous centers: Activity 3</w:t>
      </w:r>
    </w:p>
    <w:p>
      <w:pPr>
        <w:numPr>
          <w:ilvl w:val="0"/>
          <w:numId w:val="1005"/>
        </w:numPr>
        <w:pStyle w:val="Compact"/>
      </w:pPr>
      <w:r>
        <w:t xml:space="preserve">Paper: Activity 1</w:t>
      </w:r>
    </w:p>
    <w:bookmarkEnd w:id="37"/>
    <w:bookmarkStart w:id="38" w:name="lesson-timeline"/>
    <w:p>
      <w:pPr>
        <w:pStyle w:val="Heading3"/>
      </w:pPr>
      <w:r>
        <w:t xml:space="preserve">Lesson Timeline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Warm-up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15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3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15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Lesson Synthesis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</w:tbl>
    <w:bookmarkEnd w:id="38"/>
    <w:bookmarkStart w:id="39" w:name="teacher-reflection-question"/>
    <w:p>
      <w:pPr>
        <w:pStyle w:val="Heading3"/>
      </w:pPr>
      <w:r>
        <w:t xml:space="preserve">Teacher Reflection Question</w:t>
      </w:r>
    </w:p>
    <w:p>
      <w:pPr>
        <w:pStyle w:val="FirstParagraph"/>
      </w:pPr>
      <w:r>
        <w:t xml:space="preserve">In grade 2, students extend their understanding of place value to three-digit numbers and perform addition and subtraction within 1,000. How does the grade 1 work with place value prepare them for that future learning?</w:t>
      </w:r>
    </w:p>
    <w:p>
      <w:r>
        <w:pict>
          <v:rect style="width:0;height:1.5pt" o:hralign="center" o:hrstd="t" o:hr="t"/>
        </w:pict>
      </w:r>
    </w:p>
    <w:bookmarkEnd w:id="39"/>
    <w:bookmarkStart w:id="43" w:name="cool-down"/>
    <w:p>
      <w:pPr>
        <w:pStyle w:val="Heading2"/>
      </w:pPr>
      <w:r>
        <w:t xml:space="preserve">Cool-down</w:t>
      </w:r>
    </w:p>
    <w:p>
      <w:pPr>
        <w:pStyle w:val="FirstParagraph"/>
      </w:pPr>
      <w:r>
        <w:t xml:space="preserve">(to be completed at the end of the lesson)</w:t>
      </w:r>
      <w:r>
        <w:t xml:space="preserve"> </w:t>
      </w:r>
      <w:r>
        <w:drawing>
          <wp:inline>
            <wp:extent cx="3810000" cy="2540000"/>
            <wp:effectExtent b="0" l="0" r="0" t="0"/>
            <wp:docPr descr="" title="" id="41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+PC9wYXRoPgogIDwvc3ZnPg==" id="42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4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0</w:t>
      </w:r>
      <w:r>
        <w:t xml:space="preserve">min</w:t>
      </w:r>
    </w:p>
    <w:p>
      <w:pPr>
        <w:pStyle w:val="BodyText"/>
      </w:pPr>
      <w:r>
        <w:t xml:space="preserve">Unit 8, Section C Checkpoint</w:t>
      </w:r>
    </w:p>
    <w:bookmarkEnd w:id="43"/>
    <w:bookmarkStart w:id="44" w:name="standards-alignments-1"/>
    <w:p>
      <w:pPr>
        <w:pStyle w:val="Heading3"/>
      </w:pPr>
      <w:r>
        <w:t xml:space="preserve">Standards Alignments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Addressing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1.NBT.B</w:t>
            </w:r>
          </w:p>
        </w:tc>
      </w:tr>
    </w:tbl>
    <w:bookmarkEnd w:id="44"/>
    <w:bookmarkStart w:id="45" w:name="student-facing-task-statement"/>
    <w:p>
      <w:pPr>
        <w:pStyle w:val="Heading3"/>
      </w:pPr>
      <w:r>
        <w:t xml:space="preserve">Student-facing Task Statement</w:t>
      </w:r>
    </w:p>
    <w:p>
      <w:pPr>
        <w:pStyle w:val="FirstParagraph"/>
      </w:pPr>
      <w:r>
        <w:t xml:space="preserve">Lesson observations</w:t>
      </w:r>
    </w:p>
    <w:bookmarkEnd w:id="45"/>
    <w:bookmarkStart w:id="46" w:name="student-responses"/>
    <w:p>
      <w:pPr>
        <w:pStyle w:val="Heading3"/>
      </w:pPr>
      <w:r>
        <w:t xml:space="preserve">Student Responses</w:t>
      </w:r>
    </w:p>
    <w:p>
      <w:pPr>
        <w:numPr>
          <w:ilvl w:val="0"/>
          <w:numId w:val="1006"/>
        </w:numPr>
        <w:pStyle w:val="Compact"/>
      </w:pPr>
      <w:r>
        <w:t xml:space="preserve">Represent numbers to show the base-ten structure.</w:t>
      </w:r>
    </w:p>
    <w:p>
      <w:pPr>
        <w:numPr>
          <w:ilvl w:val="0"/>
          <w:numId w:val="1006"/>
        </w:numPr>
        <w:pStyle w:val="Compact"/>
      </w:pPr>
      <w:r>
        <w:t xml:space="preserve">Represent the same number with different amounts of tens and ones.</w:t>
      </w:r>
    </w:p>
    <w:bookmarkEnd w:id="46"/>
    <w:bookmarkEnd w:id="47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2" Target="media/rId32.svg" /><Relationship Type="http://schemas.openxmlformats.org/officeDocument/2006/relationships/image" Id="rId28" Target="media/rId28.svg" /><Relationship Type="http://schemas.openxmlformats.org/officeDocument/2006/relationships/image" Id="rId40" Target="media/rId40.svg" /><Relationship Type="http://schemas.openxmlformats.org/officeDocument/2006/relationships/image" Id="rId20" Target="media/rId20.sv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2022-12-14T11:23:59Z</dcterms:created>
  <dcterms:modified xsi:type="dcterms:W3CDTF">2022-12-14T11:23:59Z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5L5PF1g8LLws4lazTyczhQPdlS6e5zC+7wTEnTaa1EzAugpONLTU4ekG9a0eQx/tOjXsqIptbaVqjiHtQpXXEQ==</vt:lpwstr>
  </property>
</Properties>
</file>